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93" w:rsidRDefault="00AB4893" w:rsidP="00AB4893">
      <w:pPr>
        <w:pStyle w:val="MMU1"/>
        <w:rPr>
          <w:bCs w:val="0"/>
          <w:szCs w:val="24"/>
          <w:lang w:val="en-GB"/>
        </w:rPr>
      </w:pPr>
      <w:bookmarkStart w:id="0" w:name="_GoBack"/>
      <w:bookmarkEnd w:id="0"/>
      <w:proofErr w:type="spellStart"/>
      <w:r>
        <w:rPr>
          <w:bCs w:val="0"/>
          <w:szCs w:val="24"/>
          <w:lang w:val="en-GB"/>
        </w:rPr>
        <w:t>Leoni</w:t>
      </w:r>
      <w:proofErr w:type="spellEnd"/>
      <w:r>
        <w:rPr>
          <w:bCs w:val="0"/>
          <w:szCs w:val="24"/>
          <w:lang w:val="en-GB"/>
        </w:rPr>
        <w:t xml:space="preserve"> posted all-time records in sales, pre-tax earnings and net income in fiscal 2011 </w:t>
      </w:r>
    </w:p>
    <w:p w:rsidR="00AB4893" w:rsidRDefault="00AB4893" w:rsidP="00AB4893">
      <w:pPr>
        <w:pStyle w:val="MMU2"/>
        <w:rPr>
          <w:rFonts w:cs="Times New Roman"/>
        </w:rPr>
      </w:pPr>
      <w:r>
        <w:rPr>
          <w:rFonts w:cs="Times New Roman"/>
        </w:rPr>
        <w:t>Maintaining growth course planned for 2012</w:t>
      </w:r>
    </w:p>
    <w:p w:rsidR="00AB4893" w:rsidRDefault="00AB4893" w:rsidP="00AB4893">
      <w:pPr>
        <w:pStyle w:val="MMVorspann"/>
        <w:rPr>
          <w:rFonts w:cs="Times New Roman"/>
          <w:bCs w:val="0"/>
          <w:szCs w:val="24"/>
          <w:lang w:val="en-GB"/>
        </w:rPr>
      </w:pPr>
      <w:r>
        <w:rPr>
          <w:rFonts w:cs="Times New Roman"/>
          <w:bCs w:val="0"/>
          <w:szCs w:val="24"/>
          <w:lang w:val="en-GB"/>
        </w:rPr>
        <w:t xml:space="preserve">Nuremberg, 20 March 2012 – </w:t>
      </w:r>
      <w:proofErr w:type="spellStart"/>
      <w:r>
        <w:rPr>
          <w:rFonts w:cs="Times New Roman"/>
          <w:bCs w:val="0"/>
          <w:szCs w:val="24"/>
          <w:lang w:val="en-GB"/>
        </w:rPr>
        <w:t>Leoni</w:t>
      </w:r>
      <w:proofErr w:type="spellEnd"/>
      <w:r>
        <w:rPr>
          <w:rFonts w:cs="Times New Roman"/>
          <w:bCs w:val="0"/>
          <w:szCs w:val="24"/>
          <w:lang w:val="en-GB"/>
        </w:rPr>
        <w:t xml:space="preserve">, the leading provider of cables and cable systems to the automotive sector and other industries, posted new records in all the key figures in its 2011 financial year. Consolidated sales rose by about 25 </w:t>
      </w:r>
      <w:proofErr w:type="spellStart"/>
      <w:r>
        <w:rPr>
          <w:rFonts w:cs="Times New Roman"/>
          <w:bCs w:val="0"/>
          <w:szCs w:val="24"/>
          <w:lang w:val="en-GB"/>
        </w:rPr>
        <w:t>percent</w:t>
      </w:r>
      <w:proofErr w:type="spellEnd"/>
      <w:r>
        <w:rPr>
          <w:rFonts w:cs="Times New Roman"/>
          <w:bCs w:val="0"/>
          <w:szCs w:val="24"/>
          <w:lang w:val="en-GB"/>
        </w:rPr>
        <w:t xml:space="preserve"> to EUR 3.7 billion (previous year: EUR 2.96 billion) – and thus by significantly more than expected at the beginning of the year. Business performance involving the automotive and capital goods industries was especially dynamic. Looked at in regional terms, the Company grew above all in the BRIC countries and the </w:t>
      </w:r>
      <w:smartTag w:uri="urn:schemas-microsoft-com:office:smarttags" w:element="country-region">
        <w:smartTag w:uri="urn:schemas-microsoft-com:office:smarttags" w:element="place">
          <w:r>
            <w:rPr>
              <w:rFonts w:cs="Times New Roman"/>
              <w:bCs w:val="0"/>
              <w:szCs w:val="24"/>
              <w:lang w:val="en-GB"/>
            </w:rPr>
            <w:t>United States</w:t>
          </w:r>
        </w:smartTag>
      </w:smartTag>
      <w:r>
        <w:rPr>
          <w:rFonts w:cs="Times New Roman"/>
          <w:bCs w:val="0"/>
          <w:szCs w:val="24"/>
          <w:lang w:val="en-GB"/>
        </w:rPr>
        <w:t xml:space="preserve">. Thanks to the sustained improvement in efficiency since the 2009 economic and financial crisis, earnings before interest and taxes (EBIT) were up disproportionately strongly to EUR 237.1 million (previous year: EUR 130.7 million). </w:t>
      </w:r>
      <w:proofErr w:type="spellStart"/>
      <w:r>
        <w:rPr>
          <w:rFonts w:cs="Times New Roman"/>
          <w:bCs w:val="0"/>
          <w:szCs w:val="24"/>
          <w:lang w:val="en-GB"/>
        </w:rPr>
        <w:t>Leoni</w:t>
      </w:r>
      <w:proofErr w:type="spellEnd"/>
      <w:r>
        <w:rPr>
          <w:rFonts w:cs="Times New Roman"/>
          <w:bCs w:val="0"/>
          <w:szCs w:val="24"/>
          <w:lang w:val="en-GB"/>
        </w:rPr>
        <w:t xml:space="preserve"> generated the largest percentage gain in consolidated net income, with the bottom line reading EUR 156.0 million – and therefore more than double the net income of the previous year (EUR 67.2 million). </w:t>
      </w:r>
      <w:proofErr w:type="spellStart"/>
      <w:r>
        <w:rPr>
          <w:rFonts w:cs="Times New Roman"/>
          <w:bCs w:val="0"/>
          <w:szCs w:val="24"/>
          <w:lang w:val="en-GB"/>
        </w:rPr>
        <w:t>Leoni</w:t>
      </w:r>
      <w:proofErr w:type="spellEnd"/>
      <w:r>
        <w:rPr>
          <w:rFonts w:cs="Times New Roman"/>
          <w:bCs w:val="0"/>
          <w:szCs w:val="24"/>
          <w:lang w:val="en-GB"/>
        </w:rPr>
        <w:t xml:space="preserve"> intends to pay out a dividend of EUR 1.50 (previous year: EUR 0.70).</w:t>
      </w:r>
    </w:p>
    <w:p w:rsidR="00AB4893" w:rsidRDefault="00AB4893" w:rsidP="00AB4893">
      <w:pPr>
        <w:pStyle w:val="MMFlietext"/>
        <w:rPr>
          <w:rFonts w:cs="Times New Roman"/>
          <w:szCs w:val="24"/>
          <w:lang w:val="en-GB"/>
        </w:rPr>
      </w:pPr>
      <w:r>
        <w:rPr>
          <w:rFonts w:cs="Times New Roman"/>
          <w:szCs w:val="24"/>
          <w:lang w:val="en-GB"/>
        </w:rPr>
        <w:t>At the beginning of 2011, the cable specialist budgeted sales of at least EUR 3.1 billion and EBIT of EUR 170 million, and thereafter twice raised its forecast based on the unexpectedly good trend of business. Demand was heavier than assumed on virtually all markets and therefore resulted in high utilisation of production capacity.</w:t>
      </w:r>
    </w:p>
    <w:p w:rsidR="00AB4893" w:rsidRDefault="00AB4893" w:rsidP="00AB4893">
      <w:pPr>
        <w:pStyle w:val="MMZwischenberschrift"/>
        <w:rPr>
          <w:rFonts w:cs="Times New Roman"/>
          <w:szCs w:val="24"/>
          <w:lang w:val="en-GB"/>
        </w:rPr>
      </w:pPr>
      <w:r>
        <w:rPr>
          <w:rFonts w:cs="Times New Roman"/>
          <w:szCs w:val="24"/>
          <w:lang w:val="en-GB"/>
        </w:rPr>
        <w:t>Personnel: more than 60,000 employees for the first time</w:t>
      </w:r>
    </w:p>
    <w:p w:rsidR="00AB4893" w:rsidRDefault="00AB4893" w:rsidP="00AB4893">
      <w:pPr>
        <w:pStyle w:val="MMFlietext"/>
        <w:rPr>
          <w:rFonts w:cs="Times New Roman"/>
          <w:szCs w:val="24"/>
          <w:lang w:val="en-GB"/>
        </w:rPr>
      </w:pPr>
      <w:proofErr w:type="spellStart"/>
      <w:r>
        <w:rPr>
          <w:rFonts w:cs="Times New Roman"/>
          <w:szCs w:val="24"/>
          <w:lang w:val="en-GB"/>
        </w:rPr>
        <w:t>Leoni</w:t>
      </w:r>
      <w:proofErr w:type="spellEnd"/>
      <w:r>
        <w:rPr>
          <w:rFonts w:cs="Times New Roman"/>
          <w:szCs w:val="24"/>
          <w:lang w:val="en-GB"/>
        </w:rPr>
        <w:t xml:space="preserve"> significantly enlarged its workforce during the year under report to meet the increased demand for wires, optical </w:t>
      </w:r>
      <w:proofErr w:type="spellStart"/>
      <w:r>
        <w:rPr>
          <w:rFonts w:cs="Times New Roman"/>
          <w:szCs w:val="24"/>
          <w:lang w:val="en-GB"/>
        </w:rPr>
        <w:t>fibers</w:t>
      </w:r>
      <w:proofErr w:type="spellEnd"/>
      <w:r>
        <w:rPr>
          <w:rFonts w:cs="Times New Roman"/>
          <w:szCs w:val="24"/>
          <w:lang w:val="en-GB"/>
        </w:rPr>
        <w:t xml:space="preserve">, cables and wiring systems. On 31 December 2011 the Company employed 60,745 people Group-wide, i.e. about 10 </w:t>
      </w:r>
      <w:proofErr w:type="spellStart"/>
      <w:r>
        <w:rPr>
          <w:rFonts w:cs="Times New Roman"/>
          <w:szCs w:val="24"/>
          <w:lang w:val="en-GB"/>
        </w:rPr>
        <w:t>percent</w:t>
      </w:r>
      <w:proofErr w:type="spellEnd"/>
      <w:r>
        <w:rPr>
          <w:rFonts w:cs="Times New Roman"/>
          <w:szCs w:val="24"/>
          <w:lang w:val="en-GB"/>
        </w:rPr>
        <w:t xml:space="preserve"> more than one year earlier (55,156 people). In </w:t>
      </w:r>
      <w:smartTag w:uri="urn:schemas-microsoft-com:office:smarttags" w:element="country-region">
        <w:smartTag w:uri="urn:schemas-microsoft-com:office:smarttags" w:element="place">
          <w:r>
            <w:rPr>
              <w:rFonts w:cs="Times New Roman"/>
              <w:szCs w:val="24"/>
              <w:lang w:val="en-GB"/>
            </w:rPr>
            <w:t>Germany</w:t>
          </w:r>
        </w:smartTag>
      </w:smartTag>
      <w:r>
        <w:rPr>
          <w:rFonts w:cs="Times New Roman"/>
          <w:szCs w:val="24"/>
          <w:lang w:val="en-GB"/>
        </w:rPr>
        <w:t xml:space="preserve"> the number of staff was up by 242 to 4,017 employees. Worldwide, about 14 </w:t>
      </w:r>
      <w:proofErr w:type="spellStart"/>
      <w:r>
        <w:rPr>
          <w:rFonts w:cs="Times New Roman"/>
          <w:szCs w:val="24"/>
          <w:lang w:val="en-GB"/>
        </w:rPr>
        <w:lastRenderedPageBreak/>
        <w:t>percent</w:t>
      </w:r>
      <w:proofErr w:type="spellEnd"/>
      <w:r>
        <w:rPr>
          <w:rFonts w:cs="Times New Roman"/>
          <w:szCs w:val="24"/>
          <w:lang w:val="en-GB"/>
        </w:rPr>
        <w:t xml:space="preserve"> of the workforce was on fixed-term employment contracts, which is part of the Group's strategy of making its production capacity more flexible in view of cyclical fluctuation, which cannot be ruled out.</w:t>
      </w:r>
    </w:p>
    <w:p w:rsidR="00AB4893" w:rsidRDefault="00AB4893" w:rsidP="00AB4893">
      <w:pPr>
        <w:pStyle w:val="MMZwischenberschrift"/>
        <w:rPr>
          <w:rFonts w:cs="Times New Roman"/>
          <w:szCs w:val="24"/>
          <w:lang w:val="en-GB"/>
        </w:rPr>
      </w:pPr>
      <w:r>
        <w:rPr>
          <w:rFonts w:cs="Times New Roman"/>
          <w:szCs w:val="24"/>
          <w:lang w:val="en-GB"/>
        </w:rPr>
        <w:t xml:space="preserve">WCS: increase in high-margin business  </w:t>
      </w:r>
    </w:p>
    <w:p w:rsidR="00AB4893" w:rsidRDefault="00AB4893" w:rsidP="00AB4893">
      <w:pPr>
        <w:pStyle w:val="MMFlietext"/>
        <w:rPr>
          <w:rFonts w:cs="Times New Roman"/>
          <w:szCs w:val="24"/>
          <w:lang w:val="en-GB"/>
        </w:rPr>
      </w:pPr>
      <w:r>
        <w:rPr>
          <w:rFonts w:cs="Times New Roman"/>
          <w:szCs w:val="24"/>
          <w:lang w:val="en-GB"/>
        </w:rPr>
        <w:t xml:space="preserve">The Wire &amp; Cable Solutions (WCS) Division benefited from the fact that almost all of its markets grew more strongly through to yearend than initially forecast. Demand was especially heavy for special cables for the automotive industry as well as for cables for the automation, robotics, petrochemicals and railway engineering sectors. The division’s external sales increased by 27 </w:t>
      </w:r>
      <w:proofErr w:type="spellStart"/>
      <w:r>
        <w:rPr>
          <w:rFonts w:cs="Times New Roman"/>
          <w:szCs w:val="24"/>
          <w:lang w:val="en-GB"/>
        </w:rPr>
        <w:t>percent</w:t>
      </w:r>
      <w:proofErr w:type="spellEnd"/>
      <w:r>
        <w:rPr>
          <w:rFonts w:cs="Times New Roman"/>
          <w:szCs w:val="24"/>
          <w:lang w:val="en-GB"/>
        </w:rPr>
        <w:t xml:space="preserve"> during the year under report, to EUR 1,677.7 million (previous year: EUR 1,321.5 million). Its EBIT benefited from the heavy utilisation of production capacity and a growing proportion of high-margin segments: the result was up by more than 60 </w:t>
      </w:r>
      <w:proofErr w:type="spellStart"/>
      <w:r>
        <w:rPr>
          <w:rFonts w:cs="Times New Roman"/>
          <w:szCs w:val="24"/>
          <w:lang w:val="en-GB"/>
        </w:rPr>
        <w:t>percent</w:t>
      </w:r>
      <w:proofErr w:type="spellEnd"/>
      <w:r>
        <w:rPr>
          <w:rFonts w:cs="Times New Roman"/>
          <w:szCs w:val="24"/>
          <w:lang w:val="en-GB"/>
        </w:rPr>
        <w:t xml:space="preserve"> to EUR 90.9 million (previous year: EUR 56.3 million). </w:t>
      </w:r>
    </w:p>
    <w:p w:rsidR="00AB4893" w:rsidRDefault="00AB4893" w:rsidP="00AB4893">
      <w:pPr>
        <w:pStyle w:val="MMZwischenberschrift"/>
        <w:rPr>
          <w:rFonts w:cs="Times New Roman"/>
          <w:szCs w:val="24"/>
          <w:lang w:val="en-GB"/>
        </w:rPr>
      </w:pPr>
      <w:r>
        <w:rPr>
          <w:rFonts w:cs="Times New Roman"/>
          <w:szCs w:val="24"/>
          <w:lang w:val="en-GB"/>
        </w:rPr>
        <w:t xml:space="preserve">WSD: strong growth in China, </w:t>
      </w:r>
      <w:smartTag w:uri="urn:schemas-microsoft-com:office:smarttags" w:element="country-region">
        <w:r>
          <w:rPr>
            <w:rFonts w:cs="Times New Roman"/>
            <w:szCs w:val="24"/>
            <w:lang w:val="en-GB"/>
          </w:rPr>
          <w:t>Russia</w:t>
        </w:r>
      </w:smartTag>
      <w:r>
        <w:rPr>
          <w:rFonts w:cs="Times New Roman"/>
          <w:szCs w:val="24"/>
          <w:lang w:val="en-GB"/>
        </w:rPr>
        <w:t xml:space="preserve"> and the </w:t>
      </w:r>
      <w:smartTag w:uri="urn:schemas-microsoft-com:office:smarttags" w:element="country-region">
        <w:smartTag w:uri="urn:schemas-microsoft-com:office:smarttags" w:element="place">
          <w:r>
            <w:rPr>
              <w:rFonts w:cs="Times New Roman"/>
              <w:szCs w:val="24"/>
              <w:lang w:val="en-GB"/>
            </w:rPr>
            <w:t>United States</w:t>
          </w:r>
        </w:smartTag>
      </w:smartTag>
    </w:p>
    <w:p w:rsidR="00AB4893" w:rsidRDefault="00AB4893" w:rsidP="00AB4893">
      <w:pPr>
        <w:pStyle w:val="MMFlietext"/>
        <w:rPr>
          <w:rFonts w:cs="Times New Roman"/>
          <w:szCs w:val="24"/>
          <w:lang w:val="en-GB"/>
        </w:rPr>
      </w:pPr>
      <w:r>
        <w:rPr>
          <w:rFonts w:cs="Times New Roman"/>
          <w:szCs w:val="24"/>
          <w:lang w:val="en-GB"/>
        </w:rPr>
        <w:t xml:space="preserve">The sustained momentum in the global car and commercial vehicle industry entailed strong growth in the Wiring Systems Division (WSD), which also benefited from enhancement of its competitive position. Looked at in regional terms, </w:t>
      </w:r>
      <w:smartTag w:uri="urn:schemas-microsoft-com:office:smarttags" w:element="country-region">
        <w:r>
          <w:rPr>
            <w:rFonts w:cs="Times New Roman"/>
            <w:szCs w:val="24"/>
            <w:lang w:val="en-GB"/>
          </w:rPr>
          <w:t>China</w:t>
        </w:r>
      </w:smartTag>
      <w:r>
        <w:rPr>
          <w:rFonts w:cs="Times New Roman"/>
          <w:szCs w:val="24"/>
          <w:lang w:val="en-GB"/>
        </w:rPr>
        <w:t xml:space="preserve"> and </w:t>
      </w:r>
      <w:smartTag w:uri="urn:schemas-microsoft-com:office:smarttags" w:element="country-region">
        <w:r>
          <w:rPr>
            <w:rFonts w:cs="Times New Roman"/>
            <w:szCs w:val="24"/>
            <w:lang w:val="en-GB"/>
          </w:rPr>
          <w:t>Russia</w:t>
        </w:r>
      </w:smartTag>
      <w:r>
        <w:rPr>
          <w:rFonts w:cs="Times New Roman"/>
          <w:szCs w:val="24"/>
          <w:lang w:val="en-GB"/>
        </w:rPr>
        <w:t xml:space="preserve"> accounted for the largest gains – markets where </w:t>
      </w:r>
      <w:proofErr w:type="spellStart"/>
      <w:r>
        <w:rPr>
          <w:rFonts w:cs="Times New Roman"/>
          <w:szCs w:val="24"/>
          <w:lang w:val="en-GB"/>
        </w:rPr>
        <w:t>Leoni’s</w:t>
      </w:r>
      <w:proofErr w:type="spellEnd"/>
      <w:r>
        <w:rPr>
          <w:rFonts w:cs="Times New Roman"/>
          <w:szCs w:val="24"/>
          <w:lang w:val="en-GB"/>
        </w:rPr>
        <w:t xml:space="preserve"> early involvement is increasingly paying off – and the </w:t>
      </w:r>
      <w:smartTag w:uri="urn:schemas-microsoft-com:office:smarttags" w:element="country-region">
        <w:smartTag w:uri="urn:schemas-microsoft-com:office:smarttags" w:element="place">
          <w:r>
            <w:rPr>
              <w:rFonts w:cs="Times New Roman"/>
              <w:szCs w:val="24"/>
              <w:lang w:val="en-GB"/>
            </w:rPr>
            <w:t>United States</w:t>
          </w:r>
        </w:smartTag>
      </w:smartTag>
      <w:r>
        <w:rPr>
          <w:rFonts w:cs="Times New Roman"/>
          <w:szCs w:val="24"/>
          <w:lang w:val="en-GB"/>
        </w:rPr>
        <w:t xml:space="preserve">, too.   In the electromobility future market, significant progress was made in broadening the product range and in the project business. The division’s external sales rose by about 24 </w:t>
      </w:r>
      <w:proofErr w:type="spellStart"/>
      <w:r>
        <w:rPr>
          <w:rFonts w:cs="Times New Roman"/>
          <w:szCs w:val="24"/>
          <w:lang w:val="en-GB"/>
        </w:rPr>
        <w:t>percent</w:t>
      </w:r>
      <w:proofErr w:type="spellEnd"/>
      <w:r>
        <w:rPr>
          <w:rFonts w:cs="Times New Roman"/>
          <w:szCs w:val="24"/>
          <w:lang w:val="en-GB"/>
        </w:rPr>
        <w:t xml:space="preserve"> to EUR 2,023.8 million in 2011 (previous year: EUR 1,634.2 million). Based on beneficial economies of scale and lasting structural improvements, the division’s EBIT nearly doubled to EUR 146.2 million (previous year: EUR 74.3 million).</w:t>
      </w:r>
    </w:p>
    <w:p w:rsidR="00AB4893" w:rsidRDefault="00AB4893" w:rsidP="00AB4893">
      <w:pPr>
        <w:pStyle w:val="MMZwischenberschrift"/>
        <w:rPr>
          <w:rFonts w:cs="Times New Roman"/>
          <w:szCs w:val="24"/>
          <w:lang w:val="en-GB"/>
        </w:rPr>
      </w:pPr>
      <w:r>
        <w:rPr>
          <w:rFonts w:cs="Times New Roman"/>
          <w:szCs w:val="24"/>
          <w:lang w:val="en-GB"/>
        </w:rPr>
        <w:t xml:space="preserve">Large cash flow despite record-level capital investment </w:t>
      </w:r>
    </w:p>
    <w:p w:rsidR="00AB4893" w:rsidRDefault="00AB4893" w:rsidP="00AB4893">
      <w:pPr>
        <w:pStyle w:val="MMFlietext"/>
        <w:rPr>
          <w:rFonts w:cs="Times New Roman"/>
          <w:szCs w:val="24"/>
          <w:lang w:val="en-GB"/>
        </w:rPr>
      </w:pPr>
      <w:r>
        <w:rPr>
          <w:rFonts w:cs="Times New Roman"/>
          <w:szCs w:val="24"/>
          <w:lang w:val="en-GB"/>
        </w:rPr>
        <w:t xml:space="preserve">The </w:t>
      </w:r>
      <w:proofErr w:type="spellStart"/>
      <w:r>
        <w:rPr>
          <w:rFonts w:cs="Times New Roman"/>
          <w:szCs w:val="24"/>
          <w:lang w:val="en-GB"/>
        </w:rPr>
        <w:t>Leoni</w:t>
      </w:r>
      <w:proofErr w:type="spellEnd"/>
      <w:r>
        <w:rPr>
          <w:rFonts w:cs="Times New Roman"/>
          <w:szCs w:val="24"/>
          <w:lang w:val="en-GB"/>
        </w:rPr>
        <w:t xml:space="preserve"> Group’s financial situation improved substantially in the course of fiscal 2011. Free cash flow before the dividend </w:t>
      </w:r>
      <w:proofErr w:type="spellStart"/>
      <w:r>
        <w:rPr>
          <w:rFonts w:cs="Times New Roman"/>
          <w:szCs w:val="24"/>
          <w:lang w:val="en-GB"/>
        </w:rPr>
        <w:t>payout</w:t>
      </w:r>
      <w:proofErr w:type="spellEnd"/>
      <w:r>
        <w:rPr>
          <w:rFonts w:cs="Times New Roman"/>
          <w:szCs w:val="24"/>
          <w:lang w:val="en-GB"/>
        </w:rPr>
        <w:t xml:space="preserve"> and acquisitions rose by about 139 </w:t>
      </w:r>
      <w:proofErr w:type="spellStart"/>
      <w:r>
        <w:rPr>
          <w:rFonts w:cs="Times New Roman"/>
          <w:szCs w:val="24"/>
          <w:lang w:val="en-GB"/>
        </w:rPr>
        <w:t>percent</w:t>
      </w:r>
      <w:proofErr w:type="spellEnd"/>
      <w:r>
        <w:rPr>
          <w:rFonts w:cs="Times New Roman"/>
          <w:szCs w:val="24"/>
          <w:lang w:val="en-GB"/>
        </w:rPr>
        <w:t xml:space="preserve"> to EUR 121.2 million (previous year: EUR 50.7 million). This key figure was appreciably larger than projected because payments as at the reporting date had an unexpectedly positive impact and some planned capital </w:t>
      </w:r>
      <w:r>
        <w:rPr>
          <w:rFonts w:cs="Times New Roman"/>
          <w:szCs w:val="24"/>
          <w:lang w:val="en-GB"/>
        </w:rPr>
        <w:lastRenderedPageBreak/>
        <w:t xml:space="preserve">investment projects were postponed to 2012. Even so, </w:t>
      </w:r>
      <w:proofErr w:type="spellStart"/>
      <w:r>
        <w:rPr>
          <w:rFonts w:cs="Times New Roman"/>
          <w:szCs w:val="24"/>
          <w:lang w:val="en-GB"/>
        </w:rPr>
        <w:t>Leoni</w:t>
      </w:r>
      <w:proofErr w:type="spellEnd"/>
      <w:r>
        <w:rPr>
          <w:rFonts w:cs="Times New Roman"/>
          <w:szCs w:val="24"/>
          <w:lang w:val="en-GB"/>
        </w:rPr>
        <w:t xml:space="preserve"> spent the record sum of EUR 137.4 million on property, plant and equipment as well as on intangible assets (previous year: EUR 103.1 million) to meet the increased demand and to prepare capacity for new projects.  </w:t>
      </w:r>
    </w:p>
    <w:p w:rsidR="00AB4893" w:rsidRDefault="00AB4893" w:rsidP="00AB4893">
      <w:pPr>
        <w:pStyle w:val="MMZwischenberschrift"/>
        <w:rPr>
          <w:rFonts w:cs="Times New Roman"/>
          <w:szCs w:val="24"/>
          <w:lang w:val="en-GB"/>
        </w:rPr>
      </w:pPr>
      <w:r>
        <w:rPr>
          <w:rFonts w:cs="Times New Roman"/>
          <w:szCs w:val="24"/>
          <w:lang w:val="en-GB"/>
        </w:rPr>
        <w:t xml:space="preserve">Financial situation: more equity, less debt </w:t>
      </w:r>
    </w:p>
    <w:p w:rsidR="00AB4893" w:rsidRDefault="00AB4893" w:rsidP="00AB4893">
      <w:pPr>
        <w:pStyle w:val="MMFlietext"/>
        <w:rPr>
          <w:rFonts w:cs="Times New Roman"/>
          <w:szCs w:val="24"/>
          <w:lang w:val="en-GB"/>
        </w:rPr>
      </w:pPr>
      <w:r>
        <w:rPr>
          <w:rFonts w:cs="Times New Roman"/>
          <w:szCs w:val="24"/>
          <w:lang w:val="en-GB"/>
        </w:rPr>
        <w:t xml:space="preserve">As a consequence of the large inflow of cash and the proceeds from the 10 </w:t>
      </w:r>
      <w:proofErr w:type="spellStart"/>
      <w:r>
        <w:rPr>
          <w:rFonts w:cs="Times New Roman"/>
          <w:szCs w:val="24"/>
          <w:lang w:val="en-GB"/>
        </w:rPr>
        <w:t>percent</w:t>
      </w:r>
      <w:proofErr w:type="spellEnd"/>
      <w:r>
        <w:rPr>
          <w:rFonts w:cs="Times New Roman"/>
          <w:szCs w:val="24"/>
          <w:lang w:val="en-GB"/>
        </w:rPr>
        <w:t xml:space="preserve"> capital increase, net debt as at 31 December 2011 nearly halved to EUR 233.9 million (previous year: EUR 444.6 million). Equity simultaneously increased by more than one half to EUR 737.5 million (previous year: EUR 481.2 million) and the equity ratio rose to 31.8 </w:t>
      </w:r>
      <w:proofErr w:type="spellStart"/>
      <w:r>
        <w:rPr>
          <w:rFonts w:cs="Times New Roman"/>
          <w:szCs w:val="24"/>
          <w:lang w:val="en-GB"/>
        </w:rPr>
        <w:t>percent</w:t>
      </w:r>
      <w:proofErr w:type="spellEnd"/>
      <w:r>
        <w:rPr>
          <w:rFonts w:cs="Times New Roman"/>
          <w:szCs w:val="24"/>
          <w:lang w:val="en-GB"/>
        </w:rPr>
        <w:t xml:space="preserve"> (previous year: 23.8 </w:t>
      </w:r>
      <w:proofErr w:type="spellStart"/>
      <w:r>
        <w:rPr>
          <w:rFonts w:cs="Times New Roman"/>
          <w:szCs w:val="24"/>
          <w:lang w:val="en-GB"/>
        </w:rPr>
        <w:t>percent</w:t>
      </w:r>
      <w:proofErr w:type="spellEnd"/>
      <w:r>
        <w:rPr>
          <w:rFonts w:cs="Times New Roman"/>
          <w:szCs w:val="24"/>
          <w:lang w:val="en-GB"/>
        </w:rPr>
        <w:t xml:space="preserve">). The ratio of net debt to equity (gearing) came to 32 </w:t>
      </w:r>
      <w:proofErr w:type="spellStart"/>
      <w:r>
        <w:rPr>
          <w:rFonts w:cs="Times New Roman"/>
          <w:szCs w:val="24"/>
          <w:lang w:val="en-GB"/>
        </w:rPr>
        <w:t>percent</w:t>
      </w:r>
      <w:proofErr w:type="spellEnd"/>
      <w:r>
        <w:rPr>
          <w:rFonts w:cs="Times New Roman"/>
          <w:szCs w:val="24"/>
          <w:lang w:val="en-GB"/>
        </w:rPr>
        <w:t xml:space="preserve"> at yearend (previous year: 92 </w:t>
      </w:r>
      <w:proofErr w:type="spellStart"/>
      <w:r>
        <w:rPr>
          <w:rFonts w:cs="Times New Roman"/>
          <w:szCs w:val="24"/>
          <w:lang w:val="en-GB"/>
        </w:rPr>
        <w:t>percent</w:t>
      </w:r>
      <w:proofErr w:type="spellEnd"/>
      <w:r>
        <w:rPr>
          <w:rFonts w:cs="Times New Roman"/>
          <w:szCs w:val="24"/>
          <w:lang w:val="en-GB"/>
        </w:rPr>
        <w:t xml:space="preserve">). The return on capital employed (ROCE) improved significantly in the past year, from 13.9 </w:t>
      </w:r>
      <w:proofErr w:type="spellStart"/>
      <w:r>
        <w:rPr>
          <w:rFonts w:cs="Times New Roman"/>
          <w:szCs w:val="24"/>
          <w:lang w:val="en-GB"/>
        </w:rPr>
        <w:t>percent</w:t>
      </w:r>
      <w:proofErr w:type="spellEnd"/>
      <w:r>
        <w:rPr>
          <w:rFonts w:cs="Times New Roman"/>
          <w:szCs w:val="24"/>
          <w:lang w:val="en-GB"/>
        </w:rPr>
        <w:t xml:space="preserve"> to 24.0 </w:t>
      </w:r>
      <w:proofErr w:type="spellStart"/>
      <w:r>
        <w:rPr>
          <w:rFonts w:cs="Times New Roman"/>
          <w:szCs w:val="24"/>
          <w:lang w:val="en-GB"/>
        </w:rPr>
        <w:t>percent</w:t>
      </w:r>
      <w:proofErr w:type="spellEnd"/>
      <w:r>
        <w:rPr>
          <w:rFonts w:cs="Times New Roman"/>
          <w:szCs w:val="24"/>
          <w:lang w:val="en-GB"/>
        </w:rPr>
        <w:t>.</w:t>
      </w:r>
    </w:p>
    <w:p w:rsidR="00AB4893" w:rsidRDefault="00AB4893" w:rsidP="00AB4893">
      <w:pPr>
        <w:pStyle w:val="MMZwischenberschrift"/>
        <w:rPr>
          <w:rFonts w:cs="Times New Roman"/>
          <w:szCs w:val="24"/>
          <w:lang w:val="en-GB"/>
        </w:rPr>
      </w:pPr>
      <w:r>
        <w:rPr>
          <w:rFonts w:cs="Times New Roman"/>
          <w:szCs w:val="24"/>
          <w:lang w:val="en-GB"/>
        </w:rPr>
        <w:t xml:space="preserve">Forecast: </w:t>
      </w:r>
      <w:proofErr w:type="spellStart"/>
      <w:r>
        <w:rPr>
          <w:rFonts w:cs="Times New Roman"/>
          <w:szCs w:val="24"/>
          <w:lang w:val="en-GB"/>
        </w:rPr>
        <w:t>ongoing</w:t>
      </w:r>
      <w:proofErr w:type="spellEnd"/>
      <w:r>
        <w:rPr>
          <w:rFonts w:cs="Times New Roman"/>
          <w:szCs w:val="24"/>
          <w:lang w:val="en-GB"/>
        </w:rPr>
        <w:t xml:space="preserve"> growth accompanied by increasing profitability </w:t>
      </w:r>
    </w:p>
    <w:p w:rsidR="0098775F" w:rsidRDefault="00AB4893">
      <w:pPr>
        <w:pStyle w:val="MMFlietext"/>
        <w:rPr>
          <w:rFonts w:cs="Times New Roman"/>
          <w:szCs w:val="24"/>
          <w:lang w:val="en-GB"/>
        </w:rPr>
      </w:pPr>
      <w:proofErr w:type="spellStart"/>
      <w:r>
        <w:rPr>
          <w:rFonts w:cs="Times New Roman"/>
          <w:szCs w:val="24"/>
          <w:lang w:val="en-GB"/>
        </w:rPr>
        <w:t>Leoni</w:t>
      </w:r>
      <w:proofErr w:type="spellEnd"/>
      <w:r>
        <w:rPr>
          <w:rFonts w:cs="Times New Roman"/>
          <w:szCs w:val="24"/>
          <w:lang w:val="en-GB"/>
        </w:rPr>
        <w:t xml:space="preserve"> expects to maintain its course of expansion in the 2012 financial year, while the pace will slow down in view of the surprisingly strong growth in 2011. Depending on the global economic situation, the Company is planning to increase its consolidated sales to between EUR 3.8 and 4.0 billion. EBIT should be in the range from EUR 230 to 280 million. Objectives for 2012 also comprise keeping the return on equity and the equity ratio above the thresholds of 20 </w:t>
      </w:r>
      <w:proofErr w:type="spellStart"/>
      <w:r>
        <w:rPr>
          <w:rFonts w:cs="Times New Roman"/>
          <w:szCs w:val="24"/>
          <w:lang w:val="en-GB"/>
        </w:rPr>
        <w:t>percent</w:t>
      </w:r>
      <w:proofErr w:type="spellEnd"/>
      <w:r>
        <w:rPr>
          <w:rFonts w:cs="Times New Roman"/>
          <w:szCs w:val="24"/>
          <w:lang w:val="en-GB"/>
        </w:rPr>
        <w:t xml:space="preserve"> and 30 </w:t>
      </w:r>
      <w:proofErr w:type="spellStart"/>
      <w:r>
        <w:rPr>
          <w:rFonts w:cs="Times New Roman"/>
          <w:szCs w:val="24"/>
          <w:lang w:val="en-GB"/>
        </w:rPr>
        <w:t>percent</w:t>
      </w:r>
      <w:proofErr w:type="spellEnd"/>
      <w:r>
        <w:rPr>
          <w:rFonts w:cs="Times New Roman"/>
          <w:szCs w:val="24"/>
          <w:lang w:val="en-GB"/>
        </w:rPr>
        <w:t>, respectively. The amount of capital investment will probably rise to between EUR 155 and 185 million</w:t>
      </w:r>
      <w:r w:rsidR="0098775F">
        <w:rPr>
          <w:rFonts w:cs="Times New Roman"/>
          <w:szCs w:val="24"/>
          <w:lang w:val="en-GB"/>
        </w:rPr>
        <w:t xml:space="preserve">. </w:t>
      </w:r>
    </w:p>
    <w:p w:rsidR="00AC5497" w:rsidRPr="00424182" w:rsidRDefault="00AC5497">
      <w:pPr>
        <w:pStyle w:val="MMFlietext"/>
        <w:rPr>
          <w:sz w:val="21"/>
          <w:szCs w:val="21"/>
          <w:lang w:val="en-GB"/>
        </w:rPr>
      </w:pPr>
      <w:r w:rsidRPr="00424182">
        <w:rPr>
          <w:i/>
          <w:sz w:val="21"/>
          <w:szCs w:val="21"/>
          <w:lang w:val="en-GB"/>
        </w:rPr>
        <w:t>(</w:t>
      </w:r>
      <w:r w:rsidR="00B8338C">
        <w:rPr>
          <w:i/>
          <w:sz w:val="21"/>
          <w:szCs w:val="21"/>
          <w:lang w:val="en-GB"/>
        </w:rPr>
        <w:t>5,798</w:t>
      </w:r>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E26F48" w:rsidRDefault="0004329A" w:rsidP="00E26F48">
      <w:pPr>
        <w:pStyle w:val="MMKurzprofilberschrift"/>
        <w:spacing w:after="120"/>
        <w:rPr>
          <w:rFonts w:cs="Times New Roman"/>
          <w:szCs w:val="24"/>
          <w:lang w:val="en-GB"/>
        </w:rPr>
      </w:pPr>
      <w:r>
        <w:rPr>
          <w:rFonts w:cs="Times New Roman"/>
          <w:szCs w:val="24"/>
          <w:lang w:val="en-GB"/>
        </w:rPr>
        <w:br w:type="page"/>
      </w:r>
      <w:proofErr w:type="spellStart"/>
      <w:r w:rsidR="00E26F48" w:rsidRPr="008218D9">
        <w:rPr>
          <w:rFonts w:cs="Times New Roman"/>
          <w:szCs w:val="24"/>
          <w:lang w:val="en-GB"/>
        </w:rPr>
        <w:lastRenderedPageBreak/>
        <w:t>Leoni</w:t>
      </w:r>
      <w:proofErr w:type="spellEnd"/>
      <w:r w:rsidR="00E26F48" w:rsidRPr="008218D9">
        <w:rPr>
          <w:rFonts w:cs="Times New Roman"/>
          <w:szCs w:val="24"/>
          <w:lang w:val="en-GB"/>
        </w:rPr>
        <w:t xml:space="preserve"> performance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4077"/>
        <w:gridCol w:w="1276"/>
        <w:gridCol w:w="1276"/>
        <w:gridCol w:w="1276"/>
      </w:tblGrid>
      <w:tr w:rsidR="009E06E1" w:rsidRPr="00DF6351" w:rsidTr="00B8338C">
        <w:trPr>
          <w:trHeight w:hRule="exact" w:val="227"/>
        </w:trPr>
        <w:tc>
          <w:tcPr>
            <w:tcW w:w="4077" w:type="dxa"/>
          </w:tcPr>
          <w:p w:rsidR="009E06E1" w:rsidRPr="00DF6351" w:rsidRDefault="0004329A" w:rsidP="00B8338C">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w:t>
            </w:r>
            <w:r w:rsidR="009E06E1" w:rsidRPr="00DF6351">
              <w:rPr>
                <w:rFonts w:ascii="Arial" w:hAnsi="Arial" w:cs="Arial"/>
                <w:b/>
                <w:sz w:val="18"/>
                <w:szCs w:val="18"/>
              </w:rPr>
              <w:t>e</w:t>
            </w:r>
            <w:r w:rsidR="009E06E1">
              <w:rPr>
                <w:rFonts w:ascii="Arial" w:hAnsi="Arial" w:cs="Arial"/>
                <w:b/>
                <w:sz w:val="18"/>
                <w:szCs w:val="18"/>
              </w:rPr>
              <w:t>y</w:t>
            </w:r>
            <w:proofErr w:type="spellEnd"/>
            <w:r w:rsidR="009E06E1">
              <w:rPr>
                <w:rFonts w:ascii="Arial" w:hAnsi="Arial" w:cs="Arial"/>
                <w:b/>
                <w:sz w:val="18"/>
                <w:szCs w:val="18"/>
              </w:rPr>
              <w:t xml:space="preserve"> </w:t>
            </w:r>
            <w:proofErr w:type="spellStart"/>
            <w:r w:rsidR="009E06E1">
              <w:rPr>
                <w:rFonts w:ascii="Arial" w:hAnsi="Arial" w:cs="Arial"/>
                <w:b/>
                <w:sz w:val="18"/>
                <w:szCs w:val="18"/>
              </w:rPr>
              <w:t>figures</w:t>
            </w:r>
            <w:proofErr w:type="spellEnd"/>
          </w:p>
        </w:tc>
        <w:tc>
          <w:tcPr>
            <w:tcW w:w="1276" w:type="dxa"/>
          </w:tcPr>
          <w:p w:rsidR="009E06E1" w:rsidRPr="00DF6351" w:rsidRDefault="009E06E1" w:rsidP="009E06E1">
            <w:pPr>
              <w:tabs>
                <w:tab w:val="left" w:pos="8505"/>
              </w:tabs>
              <w:rPr>
                <w:rFonts w:ascii="Arial" w:hAnsi="Arial" w:cs="Arial"/>
                <w:b/>
                <w:sz w:val="18"/>
                <w:szCs w:val="18"/>
              </w:rPr>
            </w:pPr>
            <w:r w:rsidRPr="00DF6351">
              <w:rPr>
                <w:rFonts w:ascii="Arial" w:hAnsi="Arial" w:cs="Arial"/>
                <w:b/>
                <w:sz w:val="18"/>
                <w:szCs w:val="18"/>
              </w:rPr>
              <w:t>20</w:t>
            </w:r>
            <w:r>
              <w:rPr>
                <w:rFonts w:ascii="Arial" w:hAnsi="Arial" w:cs="Arial"/>
                <w:b/>
                <w:sz w:val="18"/>
                <w:szCs w:val="18"/>
              </w:rPr>
              <w:t>11</w:t>
            </w:r>
          </w:p>
        </w:tc>
        <w:tc>
          <w:tcPr>
            <w:tcW w:w="1276" w:type="dxa"/>
          </w:tcPr>
          <w:p w:rsidR="009E06E1" w:rsidRPr="00DF6351" w:rsidRDefault="009E06E1" w:rsidP="009E06E1">
            <w:pPr>
              <w:tabs>
                <w:tab w:val="left" w:pos="8505"/>
              </w:tabs>
              <w:rPr>
                <w:rFonts w:ascii="Arial" w:hAnsi="Arial" w:cs="Arial"/>
                <w:b/>
                <w:sz w:val="18"/>
                <w:szCs w:val="18"/>
              </w:rPr>
            </w:pPr>
            <w:r w:rsidRPr="00DF6351">
              <w:rPr>
                <w:rFonts w:ascii="Arial" w:hAnsi="Arial" w:cs="Arial"/>
                <w:b/>
                <w:sz w:val="18"/>
                <w:szCs w:val="18"/>
              </w:rPr>
              <w:t>20</w:t>
            </w:r>
            <w:r>
              <w:rPr>
                <w:rFonts w:ascii="Arial" w:hAnsi="Arial" w:cs="Arial"/>
                <w:b/>
                <w:sz w:val="18"/>
                <w:szCs w:val="18"/>
              </w:rPr>
              <w:t>1</w:t>
            </w:r>
            <w:r w:rsidRPr="00DF6351">
              <w:rPr>
                <w:rFonts w:ascii="Arial" w:hAnsi="Arial" w:cs="Arial"/>
                <w:b/>
                <w:sz w:val="18"/>
                <w:szCs w:val="18"/>
              </w:rPr>
              <w:t>0</w:t>
            </w:r>
          </w:p>
        </w:tc>
        <w:tc>
          <w:tcPr>
            <w:tcW w:w="1276" w:type="dxa"/>
          </w:tcPr>
          <w:p w:rsidR="009E06E1" w:rsidRPr="00DF6351" w:rsidRDefault="009E06E1" w:rsidP="009E06E1">
            <w:pPr>
              <w:tabs>
                <w:tab w:val="left" w:pos="8505"/>
              </w:tabs>
              <w:ind w:left="-13" w:right="-108"/>
              <w:rPr>
                <w:rFonts w:ascii="Arial" w:hAnsi="Arial" w:cs="Arial"/>
                <w:b/>
                <w:sz w:val="18"/>
                <w:szCs w:val="18"/>
              </w:rPr>
            </w:pPr>
            <w:r>
              <w:rPr>
                <w:rFonts w:ascii="Arial" w:hAnsi="Arial" w:cs="Arial"/>
                <w:b/>
                <w:sz w:val="18"/>
                <w:szCs w:val="18"/>
              </w:rPr>
              <w:t>Change</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Pr>
                <w:rFonts w:ascii="Arial" w:hAnsi="Arial"/>
                <w:sz w:val="18"/>
                <w:lang w:val="en-GB"/>
              </w:rPr>
              <w:t>S</w:t>
            </w:r>
            <w:r w:rsidRPr="007F68CF">
              <w:rPr>
                <w:rFonts w:ascii="Arial" w:hAnsi="Arial"/>
                <w:sz w:val="18"/>
                <w:lang w:val="en-GB"/>
              </w:rPr>
              <w:t>ales [€ mil</w:t>
            </w:r>
            <w:r w:rsidR="00B8338C">
              <w:rPr>
                <w:rFonts w:ascii="Arial" w:hAnsi="Arial"/>
                <w:sz w:val="18"/>
                <w:lang w:val="en-GB"/>
              </w:rPr>
              <w:t>lion</w:t>
            </w:r>
            <w:r w:rsidRPr="007F68CF">
              <w:rPr>
                <w:rFonts w:ascii="Arial" w:hAnsi="Arial"/>
                <w:sz w:val="18"/>
                <w:lang w:val="en-GB"/>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3</w:t>
            </w:r>
            <w:r w:rsidR="0004329A" w:rsidRPr="0004329A">
              <w:rPr>
                <w:rFonts w:ascii="Arial" w:hAnsi="Arial" w:cs="Arial"/>
                <w:sz w:val="18"/>
                <w:szCs w:val="18"/>
                <w:lang w:val="en-US"/>
              </w:rPr>
              <w:t>,</w:t>
            </w:r>
            <w:r w:rsidRPr="0004329A">
              <w:rPr>
                <w:rFonts w:ascii="Arial" w:hAnsi="Arial" w:cs="Arial"/>
                <w:sz w:val="18"/>
                <w:szCs w:val="18"/>
                <w:lang w:val="en-US"/>
              </w:rPr>
              <w:t>701</w:t>
            </w:r>
            <w:r w:rsidR="0004329A" w:rsidRPr="0004329A">
              <w:rPr>
                <w:rFonts w:ascii="Arial" w:hAnsi="Arial" w:cs="Arial"/>
                <w:sz w:val="18"/>
                <w:szCs w:val="18"/>
                <w:lang w:val="en-US"/>
              </w:rPr>
              <w:t>.</w:t>
            </w:r>
            <w:r w:rsidRPr="0004329A">
              <w:rPr>
                <w:rFonts w:ascii="Arial" w:hAnsi="Arial" w:cs="Arial"/>
                <w:sz w:val="18"/>
                <w:szCs w:val="18"/>
                <w:lang w:val="en-US"/>
              </w:rPr>
              <w:t>5</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2</w:t>
            </w:r>
            <w:r w:rsidR="0004329A">
              <w:rPr>
                <w:rFonts w:ascii="Arial" w:hAnsi="Arial" w:cs="Arial"/>
                <w:sz w:val="18"/>
                <w:szCs w:val="18"/>
                <w:lang w:val="en-US"/>
              </w:rPr>
              <w:t>,</w:t>
            </w:r>
            <w:r w:rsidRPr="0004329A">
              <w:rPr>
                <w:rFonts w:ascii="Arial" w:hAnsi="Arial" w:cs="Arial"/>
                <w:sz w:val="18"/>
                <w:szCs w:val="18"/>
                <w:lang w:val="en-US"/>
              </w:rPr>
              <w:t>955</w:t>
            </w:r>
            <w:r w:rsidR="0004329A">
              <w:rPr>
                <w:rFonts w:ascii="Arial" w:hAnsi="Arial" w:cs="Arial"/>
                <w:sz w:val="18"/>
                <w:szCs w:val="18"/>
                <w:lang w:val="en-US"/>
              </w:rPr>
              <w:t>.</w:t>
            </w:r>
            <w:r w:rsidRPr="0004329A">
              <w:rPr>
                <w:rFonts w:ascii="Arial" w:hAnsi="Arial" w:cs="Arial"/>
                <w:sz w:val="18"/>
                <w:szCs w:val="18"/>
                <w:lang w:val="en-US"/>
              </w:rPr>
              <w:t>7</w:t>
            </w:r>
          </w:p>
        </w:tc>
        <w:tc>
          <w:tcPr>
            <w:tcW w:w="1276" w:type="dxa"/>
            <w:vAlign w:val="center"/>
          </w:tcPr>
          <w:p w:rsidR="009E06E1" w:rsidRPr="0004329A" w:rsidRDefault="009E06E1" w:rsidP="0004329A">
            <w:pPr>
              <w:rPr>
                <w:rFonts w:ascii="Arial" w:hAnsi="Arial" w:cs="Arial"/>
                <w:sz w:val="18"/>
                <w:szCs w:val="18"/>
                <w:lang w:val="en-US"/>
              </w:rPr>
            </w:pPr>
            <w:r w:rsidRPr="0004329A">
              <w:rPr>
                <w:rFonts w:ascii="Arial" w:hAnsi="Arial" w:cs="Arial"/>
                <w:sz w:val="18"/>
                <w:szCs w:val="18"/>
                <w:lang w:val="en-US"/>
              </w:rPr>
              <w:t>+ 25</w:t>
            </w:r>
            <w:r w:rsidR="0004329A">
              <w:rPr>
                <w:rFonts w:ascii="Arial" w:hAnsi="Arial" w:cs="Arial"/>
                <w:sz w:val="18"/>
                <w:szCs w:val="18"/>
                <w:lang w:val="en-US"/>
              </w:rPr>
              <w:t>.</w:t>
            </w:r>
            <w:r w:rsidRPr="0004329A">
              <w:rPr>
                <w:rFonts w:ascii="Arial" w:hAnsi="Arial" w:cs="Arial"/>
                <w:sz w:val="18"/>
                <w:szCs w:val="18"/>
                <w:lang w:val="en-US"/>
              </w:rPr>
              <w:t>2 %</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sidRPr="007F68CF">
              <w:rPr>
                <w:rFonts w:ascii="Arial" w:hAnsi="Arial"/>
                <w:sz w:val="18"/>
                <w:lang w:val="en-GB"/>
              </w:rPr>
              <w:t xml:space="preserve">EBIT [€ </w:t>
            </w:r>
            <w:r w:rsidR="00B8338C">
              <w:rPr>
                <w:rFonts w:ascii="Arial" w:hAnsi="Arial"/>
                <w:sz w:val="18"/>
                <w:lang w:val="en-GB"/>
              </w:rPr>
              <w:t>million</w:t>
            </w:r>
            <w:r w:rsidRPr="007F68CF">
              <w:rPr>
                <w:rFonts w:ascii="Arial" w:hAnsi="Arial"/>
                <w:sz w:val="18"/>
                <w:lang w:val="en-GB"/>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237</w:t>
            </w:r>
            <w:r w:rsidR="0004329A">
              <w:rPr>
                <w:rFonts w:ascii="Arial" w:hAnsi="Arial" w:cs="Arial"/>
                <w:sz w:val="18"/>
                <w:szCs w:val="18"/>
                <w:lang w:val="en-US"/>
              </w:rPr>
              <w:t>.</w:t>
            </w:r>
            <w:r w:rsidRPr="0004329A">
              <w:rPr>
                <w:rFonts w:ascii="Arial" w:hAnsi="Arial" w:cs="Arial"/>
                <w:sz w:val="18"/>
                <w:szCs w:val="18"/>
                <w:lang w:val="en-US"/>
              </w:rPr>
              <w:t>1</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130</w:t>
            </w:r>
            <w:r w:rsidR="0004329A">
              <w:rPr>
                <w:rFonts w:ascii="Arial" w:hAnsi="Arial" w:cs="Arial"/>
                <w:sz w:val="18"/>
                <w:szCs w:val="18"/>
                <w:lang w:val="en-US"/>
              </w:rPr>
              <w:t>.</w:t>
            </w:r>
            <w:r w:rsidRPr="0004329A">
              <w:rPr>
                <w:rFonts w:ascii="Arial" w:hAnsi="Arial" w:cs="Arial"/>
                <w:sz w:val="18"/>
                <w:szCs w:val="18"/>
                <w:lang w:val="en-US"/>
              </w:rPr>
              <w:t>7</w:t>
            </w:r>
          </w:p>
        </w:tc>
        <w:tc>
          <w:tcPr>
            <w:tcW w:w="1276" w:type="dxa"/>
            <w:vAlign w:val="center"/>
          </w:tcPr>
          <w:p w:rsidR="009E06E1" w:rsidRPr="0004329A" w:rsidRDefault="009E06E1" w:rsidP="0004329A">
            <w:pPr>
              <w:rPr>
                <w:rFonts w:ascii="Arial" w:hAnsi="Arial" w:cs="Arial"/>
                <w:sz w:val="18"/>
                <w:szCs w:val="18"/>
                <w:highlight w:val="yellow"/>
                <w:lang w:val="en-US"/>
              </w:rPr>
            </w:pPr>
            <w:r w:rsidRPr="0004329A">
              <w:rPr>
                <w:rFonts w:ascii="Arial" w:hAnsi="Arial" w:cs="Arial"/>
                <w:sz w:val="18"/>
                <w:szCs w:val="18"/>
                <w:lang w:val="en-US"/>
              </w:rPr>
              <w:t>+ 81</w:t>
            </w:r>
            <w:r w:rsidR="0004329A">
              <w:rPr>
                <w:rFonts w:ascii="Arial" w:hAnsi="Arial" w:cs="Arial"/>
                <w:sz w:val="18"/>
                <w:szCs w:val="18"/>
                <w:lang w:val="en-US"/>
              </w:rPr>
              <w:t>.</w:t>
            </w:r>
            <w:r w:rsidRPr="0004329A">
              <w:rPr>
                <w:rFonts w:ascii="Arial" w:hAnsi="Arial" w:cs="Arial"/>
                <w:sz w:val="18"/>
                <w:szCs w:val="18"/>
                <w:lang w:val="en-US"/>
              </w:rPr>
              <w:t>4 %</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sidRPr="007F68CF">
              <w:rPr>
                <w:rFonts w:ascii="Arial" w:hAnsi="Arial"/>
                <w:sz w:val="18"/>
                <w:lang w:val="en-GB"/>
              </w:rPr>
              <w:t xml:space="preserve">Adjusted EBIT * [€ </w:t>
            </w:r>
            <w:r w:rsidR="00B8338C">
              <w:rPr>
                <w:rFonts w:ascii="Arial" w:hAnsi="Arial"/>
                <w:sz w:val="18"/>
                <w:lang w:val="en-GB"/>
              </w:rPr>
              <w:t>million</w:t>
            </w:r>
            <w:r w:rsidRPr="007F68CF">
              <w:rPr>
                <w:rFonts w:ascii="Arial" w:hAnsi="Arial"/>
                <w:sz w:val="18"/>
                <w:lang w:val="en-GB"/>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260</w:t>
            </w:r>
            <w:r w:rsidR="0004329A">
              <w:rPr>
                <w:rFonts w:ascii="Arial" w:hAnsi="Arial" w:cs="Arial"/>
                <w:sz w:val="18"/>
                <w:szCs w:val="18"/>
                <w:lang w:val="en-US"/>
              </w:rPr>
              <w:t>.</w:t>
            </w:r>
            <w:r w:rsidRPr="0004329A">
              <w:rPr>
                <w:rFonts w:ascii="Arial" w:hAnsi="Arial" w:cs="Arial"/>
                <w:sz w:val="18"/>
                <w:szCs w:val="18"/>
                <w:lang w:val="en-US"/>
              </w:rPr>
              <w:t>3</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154</w:t>
            </w:r>
            <w:r w:rsidR="0004329A">
              <w:rPr>
                <w:rFonts w:ascii="Arial" w:hAnsi="Arial" w:cs="Arial"/>
                <w:sz w:val="18"/>
                <w:szCs w:val="18"/>
                <w:lang w:val="en-US"/>
              </w:rPr>
              <w:t>.</w:t>
            </w:r>
            <w:r w:rsidRPr="0004329A">
              <w:rPr>
                <w:rFonts w:ascii="Arial" w:hAnsi="Arial" w:cs="Arial"/>
                <w:sz w:val="18"/>
                <w:szCs w:val="18"/>
                <w:lang w:val="en-US"/>
              </w:rPr>
              <w:t>7</w:t>
            </w:r>
          </w:p>
        </w:tc>
        <w:tc>
          <w:tcPr>
            <w:tcW w:w="1276" w:type="dxa"/>
            <w:vAlign w:val="center"/>
          </w:tcPr>
          <w:p w:rsidR="009E06E1" w:rsidRPr="0004329A" w:rsidRDefault="009E06E1" w:rsidP="0004329A">
            <w:pPr>
              <w:rPr>
                <w:rFonts w:ascii="Arial" w:hAnsi="Arial" w:cs="Arial"/>
                <w:sz w:val="18"/>
                <w:szCs w:val="18"/>
                <w:highlight w:val="yellow"/>
                <w:lang w:val="en-US"/>
              </w:rPr>
            </w:pPr>
            <w:r w:rsidRPr="0004329A">
              <w:rPr>
                <w:rFonts w:ascii="Arial" w:hAnsi="Arial" w:cs="Arial"/>
                <w:sz w:val="18"/>
                <w:szCs w:val="18"/>
                <w:lang w:val="en-US"/>
              </w:rPr>
              <w:t>+ 68</w:t>
            </w:r>
            <w:r w:rsidR="0004329A">
              <w:rPr>
                <w:rFonts w:ascii="Arial" w:hAnsi="Arial" w:cs="Arial"/>
                <w:sz w:val="18"/>
                <w:szCs w:val="18"/>
                <w:lang w:val="en-US"/>
              </w:rPr>
              <w:t>.</w:t>
            </w:r>
            <w:r w:rsidRPr="0004329A">
              <w:rPr>
                <w:rFonts w:ascii="Arial" w:hAnsi="Arial" w:cs="Arial"/>
                <w:sz w:val="18"/>
                <w:szCs w:val="18"/>
                <w:lang w:val="en-US"/>
              </w:rPr>
              <w:t>3 %</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sidRPr="009E06E1">
              <w:rPr>
                <w:rFonts w:ascii="Arial" w:hAnsi="Arial"/>
                <w:sz w:val="18"/>
                <w:lang w:val="en-GB"/>
              </w:rPr>
              <w:t>EBIT margi</w:t>
            </w:r>
            <w:r>
              <w:rPr>
                <w:rFonts w:ascii="Arial" w:hAnsi="Arial"/>
                <w:sz w:val="18"/>
                <w:lang w:val="en-GB"/>
              </w:rPr>
              <w:t>n [%]</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6</w:t>
            </w:r>
            <w:r w:rsidR="0004329A">
              <w:rPr>
                <w:rFonts w:ascii="Arial" w:hAnsi="Arial" w:cs="Arial"/>
                <w:sz w:val="18"/>
                <w:szCs w:val="18"/>
                <w:lang w:val="en-US"/>
              </w:rPr>
              <w:t>.</w:t>
            </w:r>
            <w:r w:rsidRPr="0004329A">
              <w:rPr>
                <w:rFonts w:ascii="Arial" w:hAnsi="Arial" w:cs="Arial"/>
                <w:sz w:val="18"/>
                <w:szCs w:val="18"/>
                <w:lang w:val="en-US"/>
              </w:rPr>
              <w:t>4</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4</w:t>
            </w:r>
            <w:r w:rsidR="0004329A">
              <w:rPr>
                <w:rFonts w:ascii="Arial" w:hAnsi="Arial" w:cs="Arial"/>
                <w:sz w:val="18"/>
                <w:szCs w:val="18"/>
                <w:lang w:val="en-US"/>
              </w:rPr>
              <w:t>.</w:t>
            </w:r>
            <w:r w:rsidRPr="0004329A">
              <w:rPr>
                <w:rFonts w:ascii="Arial" w:hAnsi="Arial" w:cs="Arial"/>
                <w:sz w:val="18"/>
                <w:szCs w:val="18"/>
                <w:lang w:val="en-US"/>
              </w:rPr>
              <w:t>4</w:t>
            </w:r>
          </w:p>
        </w:tc>
        <w:tc>
          <w:tcPr>
            <w:tcW w:w="1276" w:type="dxa"/>
            <w:vAlign w:val="center"/>
          </w:tcPr>
          <w:p w:rsidR="009E06E1" w:rsidRPr="0004329A" w:rsidRDefault="009E06E1" w:rsidP="009E06E1">
            <w:pPr>
              <w:rPr>
                <w:rFonts w:ascii="Arial" w:hAnsi="Arial" w:cs="Arial"/>
                <w:sz w:val="18"/>
                <w:szCs w:val="18"/>
                <w:highlight w:val="yellow"/>
                <w:lang w:val="en-US"/>
              </w:rPr>
            </w:pPr>
            <w:r w:rsidRPr="0004329A">
              <w:rPr>
                <w:rFonts w:ascii="Arial" w:hAnsi="Arial" w:cs="Arial"/>
                <w:sz w:val="18"/>
                <w:szCs w:val="18"/>
                <w:lang w:val="en-US"/>
              </w:rPr>
              <w:t>--</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sidRPr="007F68CF">
              <w:rPr>
                <w:rFonts w:ascii="Arial" w:hAnsi="Arial"/>
                <w:sz w:val="18"/>
                <w:lang w:val="en-GB"/>
              </w:rPr>
              <w:t xml:space="preserve">Consolidated net income [€ </w:t>
            </w:r>
            <w:r w:rsidR="00B8338C">
              <w:rPr>
                <w:rFonts w:ascii="Arial" w:hAnsi="Arial"/>
                <w:sz w:val="18"/>
                <w:lang w:val="en-GB"/>
              </w:rPr>
              <w:t>million</w:t>
            </w:r>
            <w:r w:rsidRPr="007F68CF">
              <w:rPr>
                <w:rFonts w:ascii="Arial" w:hAnsi="Arial"/>
                <w:sz w:val="18"/>
                <w:lang w:val="en-GB"/>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156</w:t>
            </w:r>
            <w:r w:rsidR="0004329A">
              <w:rPr>
                <w:rFonts w:ascii="Arial" w:hAnsi="Arial" w:cs="Arial"/>
                <w:sz w:val="18"/>
                <w:szCs w:val="18"/>
                <w:lang w:val="en-US"/>
              </w:rPr>
              <w:t>.</w:t>
            </w:r>
            <w:r w:rsidRPr="0004329A">
              <w:rPr>
                <w:rFonts w:ascii="Arial" w:hAnsi="Arial" w:cs="Arial"/>
                <w:sz w:val="18"/>
                <w:szCs w:val="18"/>
                <w:lang w:val="en-US"/>
              </w:rPr>
              <w:t>0</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67</w:t>
            </w:r>
            <w:r w:rsidR="0004329A">
              <w:rPr>
                <w:rFonts w:ascii="Arial" w:hAnsi="Arial" w:cs="Arial"/>
                <w:sz w:val="18"/>
                <w:szCs w:val="18"/>
                <w:lang w:val="en-US"/>
              </w:rPr>
              <w:t>.</w:t>
            </w:r>
            <w:r w:rsidRPr="0004329A">
              <w:rPr>
                <w:rFonts w:ascii="Arial" w:hAnsi="Arial" w:cs="Arial"/>
                <w:sz w:val="18"/>
                <w:szCs w:val="18"/>
                <w:lang w:val="en-US"/>
              </w:rPr>
              <w:t>2</w:t>
            </w:r>
          </w:p>
        </w:tc>
        <w:tc>
          <w:tcPr>
            <w:tcW w:w="1276" w:type="dxa"/>
            <w:vAlign w:val="center"/>
          </w:tcPr>
          <w:p w:rsidR="009E06E1" w:rsidRPr="0004329A" w:rsidRDefault="009E06E1" w:rsidP="0004329A">
            <w:pPr>
              <w:rPr>
                <w:rFonts w:ascii="Arial" w:hAnsi="Arial" w:cs="Arial"/>
                <w:sz w:val="18"/>
                <w:szCs w:val="18"/>
                <w:highlight w:val="yellow"/>
                <w:lang w:val="en-US"/>
              </w:rPr>
            </w:pPr>
            <w:r w:rsidRPr="0004329A">
              <w:rPr>
                <w:rFonts w:ascii="Arial" w:hAnsi="Arial" w:cs="Arial"/>
                <w:sz w:val="18"/>
                <w:szCs w:val="18"/>
                <w:lang w:val="en-US"/>
              </w:rPr>
              <w:t>+ 132</w:t>
            </w:r>
            <w:r w:rsidR="0004329A">
              <w:rPr>
                <w:rFonts w:ascii="Arial" w:hAnsi="Arial" w:cs="Arial"/>
                <w:sz w:val="18"/>
                <w:szCs w:val="18"/>
                <w:lang w:val="en-US"/>
              </w:rPr>
              <w:t>.</w:t>
            </w:r>
            <w:r w:rsidRPr="0004329A">
              <w:rPr>
                <w:rFonts w:ascii="Arial" w:hAnsi="Arial" w:cs="Arial"/>
                <w:sz w:val="18"/>
                <w:szCs w:val="18"/>
                <w:lang w:val="en-US"/>
              </w:rPr>
              <w:t>1 %</w:t>
            </w:r>
          </w:p>
        </w:tc>
      </w:tr>
      <w:tr w:rsidR="009E06E1" w:rsidRPr="0004329A" w:rsidTr="00B8338C">
        <w:trPr>
          <w:trHeight w:hRule="exact" w:val="284"/>
        </w:trPr>
        <w:tc>
          <w:tcPr>
            <w:tcW w:w="4077" w:type="dxa"/>
            <w:vAlign w:val="center"/>
          </w:tcPr>
          <w:p w:rsidR="009E06E1" w:rsidRPr="007F68CF" w:rsidRDefault="009E06E1" w:rsidP="00B8338C">
            <w:pPr>
              <w:tabs>
                <w:tab w:val="left" w:pos="8505"/>
              </w:tabs>
              <w:rPr>
                <w:lang w:val="en-GB"/>
              </w:rPr>
            </w:pPr>
            <w:r w:rsidRPr="0004329A">
              <w:rPr>
                <w:rFonts w:ascii="Arial" w:hAnsi="Arial" w:cs="Arial"/>
                <w:sz w:val="18"/>
                <w:szCs w:val="18"/>
                <w:lang w:val="en-US"/>
              </w:rPr>
              <w:t xml:space="preserve">Free </w:t>
            </w:r>
            <w:proofErr w:type="spellStart"/>
            <w:r w:rsidRPr="0004329A">
              <w:rPr>
                <w:rFonts w:ascii="Arial" w:hAnsi="Arial" w:cs="Arial"/>
                <w:sz w:val="18"/>
                <w:szCs w:val="18"/>
                <w:lang w:val="en-US"/>
              </w:rPr>
              <w:t>Cashflow</w:t>
            </w:r>
            <w:proofErr w:type="spellEnd"/>
            <w:r w:rsidRPr="0004329A">
              <w:rPr>
                <w:rFonts w:ascii="Arial" w:hAnsi="Arial" w:cs="Arial"/>
                <w:sz w:val="18"/>
                <w:szCs w:val="18"/>
                <w:lang w:val="en-US"/>
              </w:rPr>
              <w:t xml:space="preserve"> ** [€ </w:t>
            </w:r>
            <w:r w:rsidR="00B8338C">
              <w:rPr>
                <w:rFonts w:ascii="Arial" w:hAnsi="Arial" w:cs="Arial"/>
                <w:sz w:val="18"/>
                <w:szCs w:val="18"/>
                <w:lang w:val="en-US"/>
              </w:rPr>
              <w:t>million</w:t>
            </w:r>
            <w:r w:rsidRPr="0004329A">
              <w:rPr>
                <w:rFonts w:ascii="Arial" w:hAnsi="Arial" w:cs="Arial"/>
                <w:sz w:val="18"/>
                <w:szCs w:val="18"/>
                <w:lang w:val="en-US"/>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121</w:t>
            </w:r>
            <w:r w:rsidR="0004329A">
              <w:rPr>
                <w:rFonts w:ascii="Arial" w:hAnsi="Arial" w:cs="Arial"/>
                <w:sz w:val="18"/>
                <w:szCs w:val="18"/>
                <w:lang w:val="en-US"/>
              </w:rPr>
              <w:t>.</w:t>
            </w:r>
            <w:r w:rsidRPr="0004329A">
              <w:rPr>
                <w:rFonts w:ascii="Arial" w:hAnsi="Arial" w:cs="Arial"/>
                <w:sz w:val="18"/>
                <w:szCs w:val="18"/>
                <w:lang w:val="en-US"/>
              </w:rPr>
              <w:t>2</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50</w:t>
            </w:r>
            <w:r w:rsidR="0004329A">
              <w:rPr>
                <w:rFonts w:ascii="Arial" w:hAnsi="Arial" w:cs="Arial"/>
                <w:sz w:val="18"/>
                <w:szCs w:val="18"/>
                <w:lang w:val="en-US"/>
              </w:rPr>
              <w:t>.</w:t>
            </w:r>
            <w:r w:rsidRPr="0004329A">
              <w:rPr>
                <w:rFonts w:ascii="Arial" w:hAnsi="Arial" w:cs="Arial"/>
                <w:sz w:val="18"/>
                <w:szCs w:val="18"/>
                <w:lang w:val="en-US"/>
              </w:rPr>
              <w:t>7</w:t>
            </w:r>
          </w:p>
        </w:tc>
        <w:tc>
          <w:tcPr>
            <w:tcW w:w="1276" w:type="dxa"/>
            <w:vAlign w:val="center"/>
          </w:tcPr>
          <w:p w:rsidR="009E06E1" w:rsidRPr="0004329A" w:rsidRDefault="009E06E1" w:rsidP="0004329A">
            <w:pPr>
              <w:rPr>
                <w:rFonts w:ascii="Arial" w:hAnsi="Arial" w:cs="Arial"/>
                <w:sz w:val="18"/>
                <w:szCs w:val="18"/>
                <w:highlight w:val="yellow"/>
                <w:lang w:val="en-US"/>
              </w:rPr>
            </w:pPr>
            <w:r w:rsidRPr="0004329A">
              <w:rPr>
                <w:rFonts w:ascii="Arial" w:hAnsi="Arial" w:cs="Arial"/>
                <w:sz w:val="18"/>
                <w:szCs w:val="18"/>
                <w:lang w:val="en-US"/>
              </w:rPr>
              <w:t>+ 139</w:t>
            </w:r>
            <w:r w:rsidR="0004329A">
              <w:rPr>
                <w:rFonts w:ascii="Arial" w:hAnsi="Arial" w:cs="Arial"/>
                <w:sz w:val="18"/>
                <w:szCs w:val="18"/>
                <w:lang w:val="en-US"/>
              </w:rPr>
              <w:t>.</w:t>
            </w:r>
            <w:r w:rsidRPr="0004329A">
              <w:rPr>
                <w:rFonts w:ascii="Arial" w:hAnsi="Arial" w:cs="Arial"/>
                <w:sz w:val="18"/>
                <w:szCs w:val="18"/>
                <w:lang w:val="en-US"/>
              </w:rPr>
              <w:t>1 %</w:t>
            </w:r>
          </w:p>
        </w:tc>
      </w:tr>
      <w:tr w:rsidR="009E06E1" w:rsidRPr="0004329A" w:rsidTr="00B8338C">
        <w:trPr>
          <w:trHeight w:hRule="exact" w:val="284"/>
        </w:trPr>
        <w:tc>
          <w:tcPr>
            <w:tcW w:w="4077" w:type="dxa"/>
            <w:vAlign w:val="center"/>
          </w:tcPr>
          <w:p w:rsidR="009E06E1" w:rsidRPr="0004329A" w:rsidRDefault="00B8338C" w:rsidP="00B8338C">
            <w:pPr>
              <w:tabs>
                <w:tab w:val="left" w:pos="8505"/>
              </w:tabs>
              <w:rPr>
                <w:lang w:val="en-US"/>
              </w:rPr>
            </w:pPr>
            <w:r>
              <w:rPr>
                <w:rFonts w:ascii="Arial" w:hAnsi="Arial"/>
                <w:sz w:val="18"/>
                <w:lang w:val="en-US"/>
              </w:rPr>
              <w:t>Return on capital employed</w:t>
            </w:r>
            <w:r w:rsidR="009E06E1" w:rsidRPr="0004329A">
              <w:rPr>
                <w:rFonts w:ascii="Arial" w:hAnsi="Arial"/>
                <w:sz w:val="18"/>
                <w:lang w:val="en-US"/>
              </w:rPr>
              <w:t xml:space="preserve"> [</w:t>
            </w:r>
            <w:r>
              <w:rPr>
                <w:rFonts w:ascii="Arial" w:hAnsi="Arial"/>
                <w:sz w:val="18"/>
                <w:lang w:val="en-US"/>
              </w:rPr>
              <w:t>%</w:t>
            </w:r>
            <w:r w:rsidR="009E06E1" w:rsidRPr="0004329A">
              <w:rPr>
                <w:rFonts w:ascii="Arial" w:hAnsi="Arial"/>
                <w:sz w:val="18"/>
                <w:lang w:val="en-US"/>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24</w:t>
            </w:r>
            <w:r w:rsidR="0004329A" w:rsidRPr="0004329A">
              <w:rPr>
                <w:rFonts w:ascii="Arial" w:hAnsi="Arial" w:cs="Arial"/>
                <w:sz w:val="18"/>
                <w:szCs w:val="18"/>
                <w:lang w:val="en-US"/>
              </w:rPr>
              <w:t>.</w:t>
            </w:r>
            <w:r w:rsidRPr="0004329A">
              <w:rPr>
                <w:rFonts w:ascii="Arial" w:hAnsi="Arial" w:cs="Arial"/>
                <w:sz w:val="18"/>
                <w:szCs w:val="18"/>
                <w:lang w:val="en-US"/>
              </w:rPr>
              <w:t>0</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13</w:t>
            </w:r>
            <w:r w:rsidR="0004329A">
              <w:rPr>
                <w:rFonts w:ascii="Arial" w:hAnsi="Arial" w:cs="Arial"/>
                <w:sz w:val="18"/>
                <w:szCs w:val="18"/>
                <w:lang w:val="en-US"/>
              </w:rPr>
              <w:t>.</w:t>
            </w:r>
            <w:r w:rsidRPr="0004329A">
              <w:rPr>
                <w:rFonts w:ascii="Arial" w:hAnsi="Arial" w:cs="Arial"/>
                <w:sz w:val="18"/>
                <w:szCs w:val="18"/>
                <w:lang w:val="en-US"/>
              </w:rPr>
              <w:t>9</w:t>
            </w:r>
          </w:p>
        </w:tc>
        <w:tc>
          <w:tcPr>
            <w:tcW w:w="1276" w:type="dxa"/>
            <w:vAlign w:val="center"/>
          </w:tcPr>
          <w:p w:rsidR="009E06E1" w:rsidRPr="008920B0" w:rsidRDefault="009E06E1" w:rsidP="009E06E1">
            <w:pPr>
              <w:rPr>
                <w:rFonts w:ascii="Arial" w:hAnsi="Arial" w:cs="Arial"/>
                <w:sz w:val="18"/>
                <w:szCs w:val="18"/>
                <w:lang w:val="en-GB"/>
              </w:rPr>
            </w:pPr>
            <w:r w:rsidRPr="008920B0">
              <w:rPr>
                <w:rFonts w:ascii="Arial" w:hAnsi="Arial" w:cs="Arial"/>
                <w:sz w:val="18"/>
                <w:szCs w:val="18"/>
                <w:lang w:val="en-GB"/>
              </w:rPr>
              <w:t>--</w:t>
            </w:r>
          </w:p>
        </w:tc>
      </w:tr>
      <w:tr w:rsidR="009E06E1" w:rsidRPr="0004329A" w:rsidTr="00B8338C">
        <w:trPr>
          <w:trHeight w:hRule="exact" w:val="507"/>
        </w:trPr>
        <w:tc>
          <w:tcPr>
            <w:tcW w:w="4077" w:type="dxa"/>
            <w:vAlign w:val="center"/>
          </w:tcPr>
          <w:p w:rsidR="009E06E1" w:rsidRPr="00B8338C" w:rsidRDefault="00B8338C" w:rsidP="00B8338C">
            <w:pPr>
              <w:tabs>
                <w:tab w:val="left" w:pos="8505"/>
              </w:tabs>
              <w:rPr>
                <w:rFonts w:ascii="Arial" w:hAnsi="Arial"/>
                <w:sz w:val="18"/>
                <w:lang w:val="en-GB"/>
              </w:rPr>
            </w:pPr>
            <w:r w:rsidRPr="00B8338C">
              <w:rPr>
                <w:rFonts w:ascii="Arial" w:hAnsi="Arial"/>
                <w:sz w:val="18"/>
                <w:lang w:val="en-GB"/>
              </w:rPr>
              <w:t xml:space="preserve">Capital expenditure on property, plant and equipment as well as intangible assets </w:t>
            </w:r>
            <w:r w:rsidR="009E06E1" w:rsidRPr="007F68CF">
              <w:rPr>
                <w:rFonts w:ascii="Arial" w:hAnsi="Arial"/>
                <w:sz w:val="18"/>
                <w:lang w:val="en-GB"/>
              </w:rPr>
              <w:t>[</w:t>
            </w:r>
            <w:r>
              <w:rPr>
                <w:rFonts w:ascii="Arial" w:hAnsi="Arial"/>
                <w:sz w:val="18"/>
                <w:lang w:val="en-GB"/>
              </w:rPr>
              <w:t>€ million</w:t>
            </w:r>
            <w:r w:rsidR="009E06E1" w:rsidRPr="007F68CF">
              <w:rPr>
                <w:rFonts w:ascii="Arial" w:hAnsi="Arial"/>
                <w:sz w:val="18"/>
                <w:lang w:val="en-GB"/>
              </w:rPr>
              <w:t>]</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137</w:t>
            </w:r>
            <w:r w:rsidR="0004329A">
              <w:rPr>
                <w:rFonts w:ascii="Arial" w:hAnsi="Arial" w:cs="Arial"/>
                <w:sz w:val="18"/>
                <w:szCs w:val="18"/>
                <w:lang w:val="en-US"/>
              </w:rPr>
              <w:t>.</w:t>
            </w:r>
            <w:r w:rsidRPr="0004329A">
              <w:rPr>
                <w:rFonts w:ascii="Arial" w:hAnsi="Arial" w:cs="Arial"/>
                <w:sz w:val="18"/>
                <w:szCs w:val="18"/>
                <w:lang w:val="en-US"/>
              </w:rPr>
              <w:t>4</w:t>
            </w:r>
          </w:p>
        </w:tc>
        <w:tc>
          <w:tcPr>
            <w:tcW w:w="1276" w:type="dxa"/>
            <w:vAlign w:val="center"/>
          </w:tcPr>
          <w:p w:rsidR="009E06E1" w:rsidRPr="0004329A" w:rsidRDefault="009E06E1" w:rsidP="0004329A">
            <w:pPr>
              <w:tabs>
                <w:tab w:val="left" w:pos="8505"/>
              </w:tabs>
              <w:rPr>
                <w:rFonts w:ascii="Arial" w:hAnsi="Arial" w:cs="Arial"/>
                <w:sz w:val="18"/>
                <w:szCs w:val="18"/>
                <w:lang w:val="en-US"/>
              </w:rPr>
            </w:pPr>
            <w:r w:rsidRPr="0004329A">
              <w:rPr>
                <w:rFonts w:ascii="Arial" w:hAnsi="Arial" w:cs="Arial"/>
                <w:sz w:val="18"/>
                <w:szCs w:val="18"/>
                <w:lang w:val="en-US"/>
              </w:rPr>
              <w:t>103</w:t>
            </w:r>
            <w:r w:rsidR="0004329A">
              <w:rPr>
                <w:rFonts w:ascii="Arial" w:hAnsi="Arial" w:cs="Arial"/>
                <w:sz w:val="18"/>
                <w:szCs w:val="18"/>
                <w:lang w:val="en-US"/>
              </w:rPr>
              <w:t>.</w:t>
            </w:r>
            <w:r w:rsidRPr="0004329A">
              <w:rPr>
                <w:rFonts w:ascii="Arial" w:hAnsi="Arial" w:cs="Arial"/>
                <w:sz w:val="18"/>
                <w:szCs w:val="18"/>
                <w:lang w:val="en-US"/>
              </w:rPr>
              <w:t>1</w:t>
            </w:r>
          </w:p>
        </w:tc>
        <w:tc>
          <w:tcPr>
            <w:tcW w:w="1276" w:type="dxa"/>
            <w:vAlign w:val="center"/>
          </w:tcPr>
          <w:p w:rsidR="009E06E1" w:rsidRPr="0004329A" w:rsidRDefault="009E06E1" w:rsidP="0004329A">
            <w:pPr>
              <w:rPr>
                <w:rFonts w:ascii="Arial" w:hAnsi="Arial" w:cs="Arial"/>
                <w:sz w:val="18"/>
                <w:szCs w:val="18"/>
                <w:lang w:val="en-US"/>
              </w:rPr>
            </w:pPr>
            <w:r w:rsidRPr="0004329A">
              <w:rPr>
                <w:rFonts w:ascii="Arial" w:hAnsi="Arial" w:cs="Arial"/>
                <w:sz w:val="18"/>
                <w:szCs w:val="18"/>
                <w:lang w:val="en-US"/>
              </w:rPr>
              <w:t>+ 33</w:t>
            </w:r>
            <w:r w:rsidR="0004329A">
              <w:rPr>
                <w:rFonts w:ascii="Arial" w:hAnsi="Arial" w:cs="Arial"/>
                <w:sz w:val="18"/>
                <w:szCs w:val="18"/>
                <w:lang w:val="en-US"/>
              </w:rPr>
              <w:t>.</w:t>
            </w:r>
            <w:r w:rsidRPr="0004329A">
              <w:rPr>
                <w:rFonts w:ascii="Arial" w:hAnsi="Arial" w:cs="Arial"/>
                <w:sz w:val="18"/>
                <w:szCs w:val="18"/>
                <w:lang w:val="en-US"/>
              </w:rPr>
              <w:t>3 %</w:t>
            </w:r>
          </w:p>
        </w:tc>
      </w:tr>
      <w:tr w:rsidR="0004329A" w:rsidRPr="0004329A" w:rsidTr="00B8338C">
        <w:trPr>
          <w:trHeight w:hRule="exact" w:val="284"/>
        </w:trPr>
        <w:tc>
          <w:tcPr>
            <w:tcW w:w="4077" w:type="dxa"/>
            <w:vAlign w:val="center"/>
          </w:tcPr>
          <w:p w:rsidR="0004329A" w:rsidRPr="0004329A" w:rsidRDefault="0004329A" w:rsidP="00492E67">
            <w:pPr>
              <w:tabs>
                <w:tab w:val="left" w:pos="8505"/>
              </w:tabs>
              <w:rPr>
                <w:rFonts w:ascii="Arial" w:hAnsi="Arial"/>
                <w:sz w:val="18"/>
                <w:lang w:val="en-GB"/>
              </w:rPr>
            </w:pPr>
            <w:r w:rsidRPr="0004329A">
              <w:rPr>
                <w:rFonts w:ascii="Arial" w:hAnsi="Arial"/>
                <w:sz w:val="18"/>
                <w:lang w:val="en-GB"/>
              </w:rPr>
              <w:t>Acquisitions and financial investments</w:t>
            </w:r>
            <w:r w:rsidR="00492E67" w:rsidRPr="00B8338C">
              <w:rPr>
                <w:rFonts w:ascii="Arial" w:hAnsi="Arial"/>
                <w:sz w:val="18"/>
                <w:lang w:val="en-GB"/>
              </w:rPr>
              <w:t xml:space="preserve"> </w:t>
            </w:r>
            <w:r w:rsidR="00492E67" w:rsidRPr="007F68CF">
              <w:rPr>
                <w:rFonts w:ascii="Arial" w:hAnsi="Arial"/>
                <w:sz w:val="18"/>
                <w:lang w:val="en-GB"/>
              </w:rPr>
              <w:t>[</w:t>
            </w:r>
            <w:r w:rsidR="00492E67">
              <w:rPr>
                <w:rFonts w:ascii="Arial" w:hAnsi="Arial"/>
                <w:sz w:val="18"/>
                <w:lang w:val="en-GB"/>
              </w:rPr>
              <w:t>€ million</w:t>
            </w:r>
            <w:r w:rsidR="00492E67" w:rsidRPr="007F68CF">
              <w:rPr>
                <w:rFonts w:ascii="Arial" w:hAnsi="Arial"/>
                <w:sz w:val="18"/>
                <w:lang w:val="en-GB"/>
              </w:rPr>
              <w:t>]</w:t>
            </w:r>
          </w:p>
        </w:tc>
        <w:tc>
          <w:tcPr>
            <w:tcW w:w="1276" w:type="dxa"/>
            <w:vAlign w:val="center"/>
          </w:tcPr>
          <w:p w:rsidR="0004329A" w:rsidRPr="0004329A" w:rsidRDefault="0004329A" w:rsidP="0004329A">
            <w:pPr>
              <w:tabs>
                <w:tab w:val="left" w:pos="8505"/>
              </w:tabs>
              <w:rPr>
                <w:rFonts w:ascii="Arial" w:hAnsi="Arial" w:cs="Arial"/>
                <w:sz w:val="18"/>
                <w:szCs w:val="18"/>
                <w:lang w:val="en-US"/>
              </w:rPr>
            </w:pPr>
            <w:r w:rsidRPr="0004329A">
              <w:rPr>
                <w:rFonts w:ascii="Arial" w:hAnsi="Arial" w:cs="Arial"/>
                <w:sz w:val="18"/>
                <w:szCs w:val="18"/>
                <w:lang w:val="en-US"/>
              </w:rPr>
              <w:t>2</w:t>
            </w:r>
            <w:r>
              <w:rPr>
                <w:rFonts w:ascii="Arial" w:hAnsi="Arial" w:cs="Arial"/>
                <w:sz w:val="18"/>
                <w:szCs w:val="18"/>
                <w:lang w:val="en-US"/>
              </w:rPr>
              <w:t>.</w:t>
            </w:r>
            <w:r w:rsidRPr="0004329A">
              <w:rPr>
                <w:rFonts w:ascii="Arial" w:hAnsi="Arial" w:cs="Arial"/>
                <w:sz w:val="18"/>
                <w:szCs w:val="18"/>
                <w:lang w:val="en-US"/>
              </w:rPr>
              <w:t>7</w:t>
            </w:r>
          </w:p>
        </w:tc>
        <w:tc>
          <w:tcPr>
            <w:tcW w:w="1276" w:type="dxa"/>
            <w:vAlign w:val="center"/>
          </w:tcPr>
          <w:p w:rsidR="0004329A" w:rsidRPr="0004329A" w:rsidRDefault="0004329A" w:rsidP="0004329A">
            <w:pPr>
              <w:tabs>
                <w:tab w:val="left" w:pos="8505"/>
              </w:tabs>
              <w:rPr>
                <w:rFonts w:ascii="Arial" w:hAnsi="Arial" w:cs="Arial"/>
                <w:sz w:val="18"/>
                <w:szCs w:val="18"/>
                <w:lang w:val="en-US"/>
              </w:rPr>
            </w:pPr>
            <w:r w:rsidRPr="0004329A">
              <w:rPr>
                <w:rFonts w:ascii="Arial" w:hAnsi="Arial" w:cs="Arial"/>
                <w:sz w:val="18"/>
                <w:szCs w:val="18"/>
                <w:lang w:val="en-US"/>
              </w:rPr>
              <w:t>4</w:t>
            </w:r>
            <w:r>
              <w:rPr>
                <w:rFonts w:ascii="Arial" w:hAnsi="Arial" w:cs="Arial"/>
                <w:sz w:val="18"/>
                <w:szCs w:val="18"/>
                <w:lang w:val="en-US"/>
              </w:rPr>
              <w:t>.</w:t>
            </w:r>
            <w:r w:rsidRPr="0004329A">
              <w:rPr>
                <w:rFonts w:ascii="Arial" w:hAnsi="Arial" w:cs="Arial"/>
                <w:sz w:val="18"/>
                <w:szCs w:val="18"/>
                <w:lang w:val="en-US"/>
              </w:rPr>
              <w:t>3</w:t>
            </w:r>
          </w:p>
        </w:tc>
        <w:tc>
          <w:tcPr>
            <w:tcW w:w="1276" w:type="dxa"/>
            <w:vAlign w:val="center"/>
          </w:tcPr>
          <w:p w:rsidR="0004329A" w:rsidRPr="0004329A" w:rsidRDefault="002E1F50" w:rsidP="002E1F50">
            <w:pPr>
              <w:rPr>
                <w:rFonts w:ascii="Arial" w:hAnsi="Arial" w:cs="Arial"/>
                <w:sz w:val="18"/>
                <w:szCs w:val="18"/>
                <w:lang w:val="en-US"/>
              </w:rPr>
            </w:pPr>
            <w:r>
              <w:rPr>
                <w:rFonts w:ascii="Arial" w:hAnsi="Arial" w:cs="Arial"/>
                <w:sz w:val="18"/>
                <w:szCs w:val="18"/>
                <w:lang w:val="en-US"/>
              </w:rPr>
              <w:t xml:space="preserve">- </w:t>
            </w:r>
            <w:r w:rsidR="0004329A" w:rsidRPr="0004329A">
              <w:rPr>
                <w:rFonts w:ascii="Arial" w:hAnsi="Arial" w:cs="Arial"/>
                <w:sz w:val="18"/>
                <w:szCs w:val="18"/>
                <w:lang w:val="en-US"/>
              </w:rPr>
              <w:t>37</w:t>
            </w:r>
            <w:r w:rsidR="0004329A">
              <w:rPr>
                <w:rFonts w:ascii="Arial" w:hAnsi="Arial" w:cs="Arial"/>
                <w:sz w:val="18"/>
                <w:szCs w:val="18"/>
                <w:lang w:val="en-US"/>
              </w:rPr>
              <w:t>.</w:t>
            </w:r>
            <w:r w:rsidR="0004329A" w:rsidRPr="0004329A">
              <w:rPr>
                <w:rFonts w:ascii="Arial" w:hAnsi="Arial" w:cs="Arial"/>
                <w:sz w:val="18"/>
                <w:szCs w:val="18"/>
                <w:lang w:val="en-US"/>
              </w:rPr>
              <w:t>2 %</w:t>
            </w:r>
          </w:p>
        </w:tc>
      </w:tr>
      <w:tr w:rsidR="0004329A" w:rsidRPr="0004329A" w:rsidTr="00B8338C">
        <w:trPr>
          <w:trHeight w:hRule="exact" w:val="284"/>
        </w:trPr>
        <w:tc>
          <w:tcPr>
            <w:tcW w:w="4077" w:type="dxa"/>
            <w:vAlign w:val="center"/>
          </w:tcPr>
          <w:p w:rsidR="0004329A" w:rsidRPr="0004329A" w:rsidRDefault="0004329A" w:rsidP="00B8338C">
            <w:pPr>
              <w:tabs>
                <w:tab w:val="left" w:pos="8505"/>
              </w:tabs>
              <w:rPr>
                <w:rFonts w:ascii="Arial" w:hAnsi="Arial"/>
                <w:sz w:val="18"/>
                <w:lang w:val="en-GB"/>
              </w:rPr>
            </w:pPr>
            <w:r w:rsidRPr="0004329A">
              <w:rPr>
                <w:rFonts w:ascii="Arial" w:hAnsi="Arial"/>
                <w:sz w:val="18"/>
                <w:lang w:val="en-GB"/>
              </w:rPr>
              <w:t>Employees (as at 31 Dec.)</w:t>
            </w:r>
          </w:p>
        </w:tc>
        <w:tc>
          <w:tcPr>
            <w:tcW w:w="1276" w:type="dxa"/>
            <w:vAlign w:val="center"/>
          </w:tcPr>
          <w:p w:rsidR="0004329A" w:rsidRPr="0004329A" w:rsidRDefault="0004329A" w:rsidP="002E1F50">
            <w:pPr>
              <w:tabs>
                <w:tab w:val="left" w:pos="8505"/>
              </w:tabs>
              <w:rPr>
                <w:rFonts w:ascii="Arial" w:hAnsi="Arial" w:cs="Arial"/>
                <w:sz w:val="18"/>
                <w:szCs w:val="18"/>
                <w:lang w:val="en-US"/>
              </w:rPr>
            </w:pPr>
            <w:r w:rsidRPr="0004329A">
              <w:rPr>
                <w:rFonts w:ascii="Arial" w:hAnsi="Arial" w:cs="Arial"/>
                <w:sz w:val="18"/>
                <w:szCs w:val="18"/>
                <w:lang w:val="en-US"/>
              </w:rPr>
              <w:t>60,745</w:t>
            </w:r>
          </w:p>
        </w:tc>
        <w:tc>
          <w:tcPr>
            <w:tcW w:w="1276" w:type="dxa"/>
            <w:vAlign w:val="center"/>
          </w:tcPr>
          <w:p w:rsidR="0004329A" w:rsidRPr="0004329A" w:rsidRDefault="0004329A" w:rsidP="0004329A">
            <w:pPr>
              <w:tabs>
                <w:tab w:val="left" w:pos="8505"/>
              </w:tabs>
              <w:rPr>
                <w:rFonts w:ascii="Arial" w:hAnsi="Arial" w:cs="Arial"/>
                <w:sz w:val="18"/>
                <w:szCs w:val="18"/>
                <w:lang w:val="en-US"/>
              </w:rPr>
            </w:pPr>
            <w:r w:rsidRPr="0004329A">
              <w:rPr>
                <w:rFonts w:ascii="Arial" w:hAnsi="Arial" w:cs="Arial"/>
                <w:sz w:val="18"/>
                <w:szCs w:val="18"/>
                <w:lang w:val="en-US"/>
              </w:rPr>
              <w:t>55,156</w:t>
            </w:r>
          </w:p>
        </w:tc>
        <w:tc>
          <w:tcPr>
            <w:tcW w:w="1276" w:type="dxa"/>
            <w:vAlign w:val="center"/>
          </w:tcPr>
          <w:p w:rsidR="0004329A" w:rsidRPr="0004329A" w:rsidRDefault="0004329A" w:rsidP="0004329A">
            <w:pPr>
              <w:rPr>
                <w:rFonts w:ascii="Arial" w:hAnsi="Arial" w:cs="Arial"/>
                <w:sz w:val="18"/>
                <w:szCs w:val="18"/>
                <w:lang w:val="en-US"/>
              </w:rPr>
            </w:pPr>
            <w:r w:rsidRPr="0004329A">
              <w:rPr>
                <w:rFonts w:ascii="Arial" w:hAnsi="Arial" w:cs="Arial"/>
                <w:sz w:val="18"/>
                <w:szCs w:val="18"/>
                <w:lang w:val="en-US"/>
              </w:rPr>
              <w:t>+ 10,1 %</w:t>
            </w:r>
          </w:p>
        </w:tc>
      </w:tr>
    </w:tbl>
    <w:p w:rsidR="008F37D5" w:rsidRPr="0004329A" w:rsidRDefault="0004329A" w:rsidP="0004329A">
      <w:pPr>
        <w:autoSpaceDE w:val="0"/>
        <w:autoSpaceDN w:val="0"/>
        <w:adjustRightInd w:val="0"/>
        <w:ind w:right="1711"/>
        <w:rPr>
          <w:rFonts w:ascii="Arial" w:hAnsi="Arial"/>
          <w:i/>
          <w:sz w:val="16"/>
          <w:lang w:val="en-GB"/>
        </w:rPr>
      </w:pPr>
      <w:r>
        <w:rPr>
          <w:rFonts w:ascii="Arial" w:hAnsi="Arial" w:cs="Arial"/>
          <w:i/>
          <w:sz w:val="16"/>
          <w:szCs w:val="16"/>
          <w:lang w:val="en-GB"/>
        </w:rPr>
        <w:br/>
      </w:r>
      <w:r w:rsidR="00E26F48" w:rsidRPr="008218D9">
        <w:rPr>
          <w:rFonts w:ascii="Arial" w:hAnsi="Arial" w:cs="Arial"/>
          <w:i/>
          <w:sz w:val="16"/>
          <w:szCs w:val="16"/>
          <w:lang w:val="en-GB"/>
        </w:rPr>
        <w:t xml:space="preserve">* </w:t>
      </w:r>
      <w:r w:rsidR="00E26F48" w:rsidRPr="008218D9">
        <w:rPr>
          <w:rFonts w:ascii="Arial" w:hAnsi="Arial"/>
          <w:i/>
          <w:sz w:val="16"/>
          <w:lang w:val="en-GB"/>
        </w:rPr>
        <w:t>Earnings adjusted for the impact of revaluation as part of allocating the prices of major acquisitions, restructuring</w:t>
      </w:r>
      <w:r w:rsidR="00827B83">
        <w:rPr>
          <w:rFonts w:ascii="Arial" w:hAnsi="Arial"/>
          <w:i/>
          <w:sz w:val="16"/>
          <w:lang w:val="en-GB"/>
        </w:rPr>
        <w:t>s</w:t>
      </w:r>
      <w:r w:rsidR="00E26F48" w:rsidRPr="008218D9">
        <w:rPr>
          <w:rFonts w:ascii="Arial" w:hAnsi="Arial"/>
          <w:i/>
          <w:sz w:val="16"/>
          <w:lang w:val="en-GB"/>
        </w:rPr>
        <w:t xml:space="preserve">, impairment of non-current assets, gains on business acquisitions and </w:t>
      </w:r>
      <w:r>
        <w:rPr>
          <w:rFonts w:ascii="Arial" w:hAnsi="Arial"/>
          <w:i/>
          <w:sz w:val="16"/>
          <w:lang w:val="en-GB"/>
        </w:rPr>
        <w:t xml:space="preserve">results from </w:t>
      </w:r>
      <w:r w:rsidR="00E26F48" w:rsidRPr="008218D9">
        <w:rPr>
          <w:rFonts w:ascii="Arial" w:hAnsi="Arial"/>
          <w:i/>
          <w:sz w:val="16"/>
          <w:lang w:val="en-GB"/>
        </w:rPr>
        <w:t>derivatives relating to business combinations</w:t>
      </w:r>
      <w:r w:rsidR="00E26F48" w:rsidRPr="008218D9">
        <w:rPr>
          <w:rFonts w:ascii="Arial" w:hAnsi="Arial" w:cs="Arial"/>
          <w:i/>
          <w:sz w:val="16"/>
          <w:szCs w:val="16"/>
          <w:lang w:val="en-GB"/>
        </w:rPr>
        <w:t>.</w:t>
      </w:r>
      <w:r>
        <w:rPr>
          <w:rFonts w:ascii="Arial" w:hAnsi="Arial" w:cs="Arial"/>
          <w:i/>
          <w:sz w:val="16"/>
          <w:szCs w:val="16"/>
          <w:lang w:val="en-GB"/>
        </w:rPr>
        <w:br/>
      </w:r>
      <w:r w:rsidR="00E26F48" w:rsidRPr="00ED2600">
        <w:rPr>
          <w:rFonts w:ascii="Arial" w:hAnsi="Arial" w:cs="Arial"/>
          <w:i/>
          <w:sz w:val="16"/>
          <w:szCs w:val="16"/>
          <w:lang w:val="en-GB"/>
        </w:rPr>
        <w:t xml:space="preserve">** </w:t>
      </w:r>
      <w:proofErr w:type="gramStart"/>
      <w:r w:rsidRPr="0004329A">
        <w:rPr>
          <w:rFonts w:ascii="Arial" w:hAnsi="Arial"/>
          <w:i/>
          <w:sz w:val="16"/>
          <w:lang w:val="en-GB"/>
        </w:rPr>
        <w:t>before</w:t>
      </w:r>
      <w:proofErr w:type="gramEnd"/>
      <w:r w:rsidRPr="0004329A">
        <w:rPr>
          <w:rFonts w:ascii="Arial" w:hAnsi="Arial"/>
          <w:i/>
          <w:sz w:val="16"/>
          <w:lang w:val="en-GB"/>
        </w:rPr>
        <w:t xml:space="preserve"> dividend and acquisitions</w:t>
      </w:r>
    </w:p>
    <w:p w:rsidR="0098775F" w:rsidRDefault="0098775F" w:rsidP="00B8338C">
      <w:pPr>
        <w:spacing w:before="24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and further information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 xml:space="preserve">this release </w:t>
      </w:r>
      <w:r w:rsidR="00E26F48">
        <w:rPr>
          <w:rFonts w:ascii="Arial" w:hAnsi="Arial"/>
          <w:i/>
          <w:sz w:val="21"/>
          <w:lang w:val="en-GB"/>
        </w:rPr>
        <w:br/>
      </w:r>
      <w:r w:rsidR="00E26F48" w:rsidRPr="002C049D">
        <w:rPr>
          <w:rFonts w:ascii="Arial" w:hAnsi="Arial"/>
          <w:sz w:val="36"/>
          <w:szCs w:val="36"/>
          <w:lang w:val="en-GB"/>
        </w:rPr>
        <w:sym w:font="Wingdings" w:char="F046"/>
      </w:r>
      <w:r w:rsidR="00E26F48" w:rsidRPr="002C049D">
        <w:rPr>
          <w:rFonts w:ascii="Arial" w:hAnsi="Arial"/>
          <w:i/>
          <w:sz w:val="20"/>
          <w:lang w:val="en-GB"/>
        </w:rPr>
        <w:t xml:space="preserve"> </w:t>
      </w:r>
      <w:proofErr w:type="gramStart"/>
      <w:r w:rsidR="00E26F48" w:rsidRPr="002C049D">
        <w:rPr>
          <w:rFonts w:ascii="Arial" w:hAnsi="Arial"/>
          <w:i/>
          <w:sz w:val="21"/>
          <w:lang w:val="en-GB"/>
        </w:rPr>
        <w:t>The</w:t>
      </w:r>
      <w:proofErr w:type="gramEnd"/>
      <w:r w:rsidR="00E26F48" w:rsidRPr="002C049D">
        <w:rPr>
          <w:rFonts w:ascii="Arial" w:hAnsi="Arial"/>
          <w:i/>
          <w:sz w:val="21"/>
          <w:lang w:val="en-GB"/>
        </w:rPr>
        <w:t xml:space="preserve"> complete </w:t>
      </w:r>
      <w:r w:rsidR="00B8338C">
        <w:rPr>
          <w:rFonts w:ascii="Arial" w:hAnsi="Arial"/>
          <w:i/>
          <w:sz w:val="21"/>
          <w:lang w:val="en-GB"/>
        </w:rPr>
        <w:t xml:space="preserve">annual </w:t>
      </w:r>
      <w:r w:rsidR="00E26F48" w:rsidRPr="002C049D">
        <w:rPr>
          <w:rFonts w:ascii="Arial" w:hAnsi="Arial"/>
          <w:i/>
          <w:sz w:val="21"/>
          <w:lang w:val="en-GB"/>
        </w:rPr>
        <w:t>report can be downloaded from</w:t>
      </w:r>
      <w:r w:rsidR="00B8338C">
        <w:rPr>
          <w:rFonts w:ascii="Arial" w:hAnsi="Arial"/>
          <w:i/>
          <w:sz w:val="21"/>
          <w:lang w:val="en-GB"/>
        </w:rPr>
        <w:t xml:space="preserve"> </w:t>
      </w:r>
      <w:hyperlink r:id="rId9" w:history="1">
        <w:r w:rsidR="00B8338C" w:rsidRPr="002E7CA9">
          <w:rPr>
            <w:rStyle w:val="Hyperlink"/>
            <w:rFonts w:ascii="Arial" w:hAnsi="Arial" w:cs="Arial"/>
            <w:i/>
            <w:sz w:val="21"/>
            <w:szCs w:val="21"/>
            <w:lang w:val="en-US"/>
          </w:rPr>
          <w:t>www.leoni.com/?gb11&amp;L=1</w: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B8338C">
        <w:rPr>
          <w:lang w:val="en-GB"/>
        </w:rPr>
        <w:t>3</w:t>
      </w:r>
      <w:r w:rsidRPr="00C85271">
        <w:rPr>
          <w:lang w:val="en-GB"/>
        </w:rPr>
        <w:t>,000 people in 3</w:t>
      </w:r>
      <w:r w:rsidR="00B8338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827B83" w:rsidP="004044A6">
      <w:pPr>
        <w:pStyle w:val="MMKurzprofil"/>
        <w:rPr>
          <w:lang w:val="en-US"/>
        </w:rPr>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4044A6" w:rsidRPr="004044A6">
        <w:rPr>
          <w:lang w:val="en-US"/>
        </w:rPr>
        <w:t xml:space="preserve"> </w:t>
      </w:r>
      <w:hyperlink r:id="rId12"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4" w:history="1">
        <w:r w:rsidRPr="00C85271">
          <w:rPr>
            <w:rStyle w:val="Hyperlink"/>
            <w:rFonts w:cs="Times New Roman"/>
            <w:szCs w:val="24"/>
            <w:lang w:val="en-GB"/>
          </w:rPr>
          <w:t>presse@leoni.com</w:t>
        </w:r>
      </w:hyperlink>
    </w:p>
    <w:sectPr w:rsidR="0098775F" w:rsidSect="00452CF6">
      <w:headerReference w:type="default" r:id="rId15"/>
      <w:footerReference w:type="default" r:id="rId16"/>
      <w:headerReference w:type="first" r:id="rId17"/>
      <w:footerReference w:type="firs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8C" w:rsidRDefault="00B8338C">
      <w:pPr>
        <w:rPr>
          <w:sz w:val="16"/>
        </w:rPr>
      </w:pPr>
      <w:r>
        <w:separator/>
      </w:r>
    </w:p>
  </w:endnote>
  <w:endnote w:type="continuationSeparator" w:id="0">
    <w:p w:rsidR="00B8338C" w:rsidRDefault="00B8338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827B83">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827B83">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B8338C" w:rsidRDefault="00B8338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8338C" w:rsidRDefault="00B8338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8338C" w:rsidRDefault="00B8338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8338C" w:rsidRDefault="00B8338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8338C" w:rsidRDefault="00B8338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8338C" w:rsidRDefault="00B8338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8C" w:rsidRDefault="00B8338C">
      <w:pPr>
        <w:rPr>
          <w:sz w:val="16"/>
        </w:rPr>
      </w:pPr>
      <w:r>
        <w:separator/>
      </w:r>
    </w:p>
  </w:footnote>
  <w:footnote w:type="continuationSeparator" w:id="0">
    <w:p w:rsidR="00B8338C" w:rsidRDefault="00B8338C">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Pr="00F17738" w:rsidRDefault="00B8338C" w:rsidP="00F65C50">
    <w:pPr>
      <w:pStyle w:val="Kopfzeile"/>
      <w:tabs>
        <w:tab w:val="clear" w:pos="9072"/>
        <w:tab w:val="right" w:pos="9639"/>
      </w:tabs>
      <w:spacing w:after="0" w:line="240" w:lineRule="auto"/>
      <w:rPr>
        <w:rFonts w:ascii="Verdana" w:hAnsi="Verdana"/>
        <w:sz w:val="20"/>
      </w:rPr>
    </w:pPr>
  </w:p>
  <w:p w:rsidR="00B8338C" w:rsidRDefault="00B8338C" w:rsidP="00F65C50">
    <w:pPr>
      <w:pStyle w:val="Kopfzeile"/>
      <w:tabs>
        <w:tab w:val="clear" w:pos="9072"/>
        <w:tab w:val="right" w:pos="9639"/>
      </w:tabs>
      <w:spacing w:after="0" w:line="240" w:lineRule="auto"/>
      <w:rPr>
        <w:rFonts w:ascii="Verdana" w:hAnsi="Verdana"/>
        <w:sz w:val="20"/>
      </w:rPr>
    </w:pPr>
  </w:p>
  <w:p w:rsidR="00B8338C" w:rsidRPr="00F17738" w:rsidRDefault="00827B83"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B8338C" w:rsidRDefault="00B8338C" w:rsidP="00F65C50">
    <w:pPr>
      <w:spacing w:before="60" w:after="0" w:line="360" w:lineRule="auto"/>
      <w:ind w:right="1429"/>
      <w:rPr>
        <w:rFonts w:ascii="Arial" w:hAnsi="Arial" w:cs="Arial"/>
        <w:b/>
        <w:sz w:val="20"/>
        <w:szCs w:val="20"/>
      </w:rPr>
    </w:pPr>
  </w:p>
  <w:p w:rsidR="00B8338C" w:rsidRDefault="00B8338C"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B8338C" w:rsidRDefault="00B8338C">
    <w:pPr>
      <w:pStyle w:val="Kopfzeile"/>
      <w:tabs>
        <w:tab w:val="clear" w:pos="9072"/>
        <w:tab w:val="right" w:pos="9639"/>
      </w:tabs>
      <w:rPr>
        <w:rFonts w:ascii="Verdana" w:hAnsi="Verdana"/>
        <w:sz w:val="20"/>
      </w:rPr>
    </w:pPr>
  </w:p>
  <w:p w:rsidR="00B8338C" w:rsidRDefault="00B8338C">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827B83">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p w:rsidR="00B8338C" w:rsidRDefault="00B8338C">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329A"/>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E1F50"/>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92E67"/>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E7A1F"/>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45E1"/>
    <w:rsid w:val="00821BA4"/>
    <w:rsid w:val="00827B83"/>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E06E1"/>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B4893"/>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338C"/>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oni.com/?gb11&amp;L=1"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8042</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2011-03-16T09:24:00Z</cp:lastPrinted>
  <dcterms:created xsi:type="dcterms:W3CDTF">2012-03-13T11:39:00Z</dcterms:created>
  <dcterms:modified xsi:type="dcterms:W3CDTF">2012-03-13T13:12:00Z</dcterms:modified>
</cp:coreProperties>
</file>