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E436DA" w:rsidP="00D47FA5">
      <w:pPr>
        <w:pStyle w:val="MMU1"/>
      </w:pPr>
      <w:bookmarkStart w:id="0" w:name="_GoBack"/>
      <w:bookmarkEnd w:id="0"/>
      <w:r>
        <w:t>Leoni erzielte im Geschäftsjahr 2011 neue Rekorde bei Umsatz, Vorsteuergewinn und Nettoergebnis</w:t>
      </w:r>
      <w:r w:rsidR="001D2CDB" w:rsidRPr="00441012">
        <w:t xml:space="preserve"> </w:t>
      </w:r>
    </w:p>
    <w:p w:rsidR="003F74D0" w:rsidRPr="006F0BE8" w:rsidRDefault="00990335" w:rsidP="006F0BE8">
      <w:pPr>
        <w:pStyle w:val="MMU2"/>
      </w:pPr>
      <w:r w:rsidRPr="00990335">
        <w:t>Fortsetzung des Expansionskurses 2012 geplant</w:t>
      </w:r>
    </w:p>
    <w:p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E436DA">
        <w:t>20</w:t>
      </w:r>
      <w:r w:rsidRPr="009A1070">
        <w:t>. M</w:t>
      </w:r>
      <w:r w:rsidR="00E436DA">
        <w:t>ärz</w:t>
      </w:r>
      <w:r w:rsidRPr="009A1070">
        <w:t xml:space="preserve"> 20</w:t>
      </w:r>
      <w:r>
        <w:t>1</w:t>
      </w:r>
      <w:r w:rsidR="005E0BBB">
        <w:t>2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E436DA">
        <w:t xml:space="preserve">hat im Geschäftsjahr </w:t>
      </w:r>
      <w:r w:rsidR="00966BBB">
        <w:t xml:space="preserve">2011 </w:t>
      </w:r>
      <w:r w:rsidR="00E436DA">
        <w:t xml:space="preserve">bei allen wesentlichen Kennzahlen neue Rekordwerte erreicht. </w:t>
      </w:r>
      <w:r w:rsidR="002A4D33">
        <w:t>Der Konzernu</w:t>
      </w:r>
      <w:r w:rsidR="00E436DA">
        <w:t>msatz</w:t>
      </w:r>
      <w:r w:rsidR="002A4D33">
        <w:t xml:space="preserve"> stieg </w:t>
      </w:r>
      <w:r w:rsidR="00C16450" w:rsidRPr="002A4D33">
        <w:t>um ein Viertel auf 3,7 Mrd. Euro</w:t>
      </w:r>
      <w:r w:rsidR="00C16450">
        <w:t xml:space="preserve"> (Vorjahr:</w:t>
      </w:r>
      <w:r w:rsidR="002A4D33" w:rsidRPr="002A4D33">
        <w:t xml:space="preserve"> 2,96 Mrd. Euro)</w:t>
      </w:r>
      <w:r w:rsidR="00C16450">
        <w:t xml:space="preserve"> – und fiel </w:t>
      </w:r>
      <w:r w:rsidR="002A4D33">
        <w:t xml:space="preserve">damit deutlich höher </w:t>
      </w:r>
      <w:r w:rsidR="002D3B75">
        <w:t xml:space="preserve">aus </w:t>
      </w:r>
      <w:r w:rsidR="002A4D33">
        <w:t xml:space="preserve">als zu Jahresbeginn erwartet. </w:t>
      </w:r>
      <w:r w:rsidR="002A4D33" w:rsidRPr="002A4D33">
        <w:t xml:space="preserve">Besonders dynamisch </w:t>
      </w:r>
      <w:r w:rsidR="002A4D33">
        <w:t xml:space="preserve">entwickelte </w:t>
      </w:r>
      <w:r w:rsidR="002A4D33" w:rsidRPr="002A4D33">
        <w:t>sich das Geschäft mit der Automobil- und der Investitionsgüterindustrie.</w:t>
      </w:r>
      <w:r w:rsidR="002A4D33">
        <w:t xml:space="preserve"> Aus regionaler Sicht konnte das Unternehmen vor allem in den BRIC-Staaten und </w:t>
      </w:r>
      <w:r w:rsidR="002A4D33" w:rsidRPr="002A4D33">
        <w:t>den USA</w:t>
      </w:r>
      <w:r w:rsidR="002A4D33">
        <w:t xml:space="preserve"> </w:t>
      </w:r>
      <w:r w:rsidR="00C16450">
        <w:t>wachsen</w:t>
      </w:r>
      <w:r w:rsidR="002A4D33">
        <w:t xml:space="preserve">. Aufgrund einer </w:t>
      </w:r>
      <w:r w:rsidR="00C16450">
        <w:t xml:space="preserve">seit der Wirtschafts- und Finanzkrise 2009 </w:t>
      </w:r>
      <w:r w:rsidR="002A4D33">
        <w:t xml:space="preserve">nachhaltig </w:t>
      </w:r>
      <w:r w:rsidR="00C16450">
        <w:t>verbesserten</w:t>
      </w:r>
      <w:r w:rsidR="002A4D33">
        <w:t xml:space="preserve"> Effizienz</w:t>
      </w:r>
      <w:r w:rsidR="00C16450">
        <w:t xml:space="preserve"> erhöhte sich das </w:t>
      </w:r>
      <w:r w:rsidR="00E436DA">
        <w:t>Ergebnis vor Zinsen und Steuern (EBIT) stark überproportional</w:t>
      </w:r>
      <w:r w:rsidR="00C16450">
        <w:t xml:space="preserve"> auf 237,1 Mio. Euro (Vorjahr: </w:t>
      </w:r>
      <w:r w:rsidR="00E436DA">
        <w:t>13</w:t>
      </w:r>
      <w:r w:rsidR="00C16450">
        <w:t>0,7</w:t>
      </w:r>
      <w:r w:rsidR="00E436DA">
        <w:t xml:space="preserve"> Mio. Euro</w:t>
      </w:r>
      <w:r w:rsidR="00C16450">
        <w:t>). Beim Konzernüberschuss erwirtschaftete Leoni d</w:t>
      </w:r>
      <w:r w:rsidR="00E436DA">
        <w:t>en größten prozentualen Zuwachs: Unter dem Strich</w:t>
      </w:r>
      <w:r w:rsidR="00C16450">
        <w:t xml:space="preserve"> verb</w:t>
      </w:r>
      <w:r w:rsidR="00E436DA">
        <w:t>lieb</w:t>
      </w:r>
      <w:r w:rsidR="00D6261E">
        <w:t xml:space="preserve">en </w:t>
      </w:r>
      <w:r w:rsidR="00E436DA">
        <w:t>156</w:t>
      </w:r>
      <w:r w:rsidR="00D6261E">
        <w:t>,0</w:t>
      </w:r>
      <w:r w:rsidR="00E436DA">
        <w:t xml:space="preserve"> Mio. Euro </w:t>
      </w:r>
      <w:r w:rsidR="00D6261E">
        <w:t xml:space="preserve">– und damit ein mehr als doppelt so hohes Nettoergebnis wie im </w:t>
      </w:r>
      <w:r w:rsidR="00E436DA">
        <w:t>Vorjahr</w:t>
      </w:r>
      <w:r w:rsidR="00D6261E">
        <w:t xml:space="preserve"> (</w:t>
      </w:r>
      <w:r w:rsidR="00E436DA">
        <w:t>67</w:t>
      </w:r>
      <w:r w:rsidR="00D6261E">
        <w:t>,2</w:t>
      </w:r>
      <w:r w:rsidR="00E436DA">
        <w:t xml:space="preserve"> Mio. Euro).</w:t>
      </w:r>
      <w:r w:rsidR="00D6261E">
        <w:t xml:space="preserve"> Leoni beabsichtigt, eine Dividende von 1,50 Euro (Vorjahr: 0,70 Euro) auszuschütten.</w:t>
      </w:r>
    </w:p>
    <w:p w:rsidR="00B270D9" w:rsidRDefault="00966BBB" w:rsidP="00966BBB">
      <w:pPr>
        <w:pStyle w:val="MMFlietext"/>
      </w:pPr>
      <w:r>
        <w:t xml:space="preserve">Anfang des Jahres 2011 hatte der Kabelspezialist einen Umsatz von mindestens 3,1 Mrd. Euro und ein EBIT von 170 Mio. Euro geplant und </w:t>
      </w:r>
      <w:r w:rsidR="00B270D9">
        <w:t xml:space="preserve">erhöhte </w:t>
      </w:r>
      <w:r>
        <w:t xml:space="preserve">aufgrund des unerwartet guten Geschäftsverlaufs zweimal seine Prognose. </w:t>
      </w:r>
      <w:r w:rsidR="00B270D9">
        <w:t>Die</w:t>
      </w:r>
      <w:r w:rsidR="00B270D9" w:rsidRPr="00966BBB">
        <w:t xml:space="preserve"> Nachfrage</w:t>
      </w:r>
      <w:r w:rsidR="00B270D9">
        <w:t xml:space="preserve"> entwickelte sich in n</w:t>
      </w:r>
      <w:r w:rsidR="00B270D9" w:rsidRPr="00966BBB">
        <w:t>ahezu alle</w:t>
      </w:r>
      <w:r w:rsidR="00B270D9">
        <w:t>n</w:t>
      </w:r>
      <w:r w:rsidR="00B270D9" w:rsidRPr="00966BBB">
        <w:t xml:space="preserve"> Märkte</w:t>
      </w:r>
      <w:r w:rsidR="00B270D9">
        <w:t xml:space="preserve">n stärker als angenommen und führte somit zu einer hohen </w:t>
      </w:r>
      <w:r w:rsidRPr="00966BBB">
        <w:t xml:space="preserve">Auslastung </w:t>
      </w:r>
      <w:r w:rsidR="0090422E">
        <w:t xml:space="preserve">in </w:t>
      </w:r>
      <w:r w:rsidR="00B270D9">
        <w:t xml:space="preserve">der </w:t>
      </w:r>
      <w:r w:rsidR="0090422E">
        <w:t>Fertigung</w:t>
      </w:r>
      <w:r w:rsidR="00B270D9">
        <w:t>.</w:t>
      </w:r>
    </w:p>
    <w:p w:rsidR="008B1883" w:rsidRPr="008B1883" w:rsidRDefault="00B270D9" w:rsidP="008B1883">
      <w:pPr>
        <w:pStyle w:val="MMZwischenberschrift"/>
      </w:pPr>
      <w:r>
        <w:t>P</w:t>
      </w:r>
      <w:r w:rsidR="00E436DA">
        <w:t xml:space="preserve">ersonal: </w:t>
      </w:r>
      <w:r w:rsidR="00C4480F">
        <w:t>Erstmals mehr als 60.000 Mitarbeiter</w:t>
      </w:r>
    </w:p>
    <w:p w:rsidR="000B3D4A" w:rsidRDefault="00B270D9" w:rsidP="000B3D4A">
      <w:pPr>
        <w:pStyle w:val="MMFlietext"/>
      </w:pPr>
      <w:r>
        <w:t xml:space="preserve">Um den gestiegenen Bedarf an Drähten, optischen Fasern, Kabeln und Bordnetz-Systemen </w:t>
      </w:r>
      <w:r w:rsidR="0090422E">
        <w:t>zu decken, hat Leoni seine Personalkapazitäten im Berichtsjahr deutlich ausgeweitet.</w:t>
      </w:r>
      <w:r w:rsidR="0090422E" w:rsidRPr="0090422E">
        <w:t xml:space="preserve"> Am</w:t>
      </w:r>
      <w:r w:rsidR="0090422E">
        <w:t xml:space="preserve"> </w:t>
      </w:r>
      <w:r w:rsidR="0090422E" w:rsidRPr="0090422E">
        <w:t xml:space="preserve">31. Dezember 2011 </w:t>
      </w:r>
      <w:r w:rsidR="0090422E">
        <w:t xml:space="preserve">beschäftigte </w:t>
      </w:r>
      <w:r w:rsidR="0090422E" w:rsidRPr="0090422E">
        <w:t xml:space="preserve">das Unternehmen konzernweit 60.745 </w:t>
      </w:r>
      <w:r w:rsidR="000B3D4A">
        <w:t>Personen</w:t>
      </w:r>
      <w:r w:rsidR="0090422E" w:rsidRPr="0090422E">
        <w:t xml:space="preserve">, </w:t>
      </w:r>
      <w:r w:rsidR="0090422E">
        <w:t xml:space="preserve">rund 10 Prozent mehr als zum </w:t>
      </w:r>
      <w:r w:rsidR="0090422E" w:rsidRPr="0090422E">
        <w:t xml:space="preserve">Vorjahresstichtag </w:t>
      </w:r>
      <w:r w:rsidR="0090422E">
        <w:t>(</w:t>
      </w:r>
      <w:r w:rsidR="000B3D4A">
        <w:t xml:space="preserve">55.156 Personen). </w:t>
      </w:r>
      <w:r w:rsidR="000B3D4A" w:rsidRPr="000B3D4A">
        <w:t>In Deutschland</w:t>
      </w:r>
      <w:r w:rsidR="000B3D4A">
        <w:t xml:space="preserve"> </w:t>
      </w:r>
      <w:r w:rsidR="000B3D4A" w:rsidRPr="000B3D4A">
        <w:t xml:space="preserve">erhöhte sich die </w:t>
      </w:r>
      <w:r w:rsidR="000B3D4A">
        <w:lastRenderedPageBreak/>
        <w:t>Beschäftigten</w:t>
      </w:r>
      <w:r w:rsidR="000B3D4A" w:rsidRPr="000B3D4A">
        <w:t xml:space="preserve">zahl um 242 auf 4.017 </w:t>
      </w:r>
      <w:r w:rsidR="000B3D4A">
        <w:t xml:space="preserve">Mitarbeiter. Weltweit befanden sich rund 14 Prozent der Belegschaft </w:t>
      </w:r>
      <w:r w:rsidR="0090422E" w:rsidRPr="0090422E">
        <w:t xml:space="preserve">in befristeten Arbeitsverhältnissen, </w:t>
      </w:r>
      <w:r w:rsidR="000B3D4A">
        <w:t>was Teil der Konzernstrategie ist, die Kapazitäten angesichts</w:t>
      </w:r>
      <w:r w:rsidR="00DC2CC0">
        <w:t xml:space="preserve"> nicht auszuschließender</w:t>
      </w:r>
      <w:r w:rsidR="000B3D4A">
        <w:t xml:space="preserve">  Konjunkturschwankungen flexibler zu gestalten.</w:t>
      </w:r>
    </w:p>
    <w:p w:rsidR="00E436DA" w:rsidRPr="008B1883" w:rsidRDefault="00E436DA" w:rsidP="00E436DA">
      <w:pPr>
        <w:pStyle w:val="MMZwischenberschrift"/>
      </w:pPr>
      <w:r>
        <w:t>WCS:</w:t>
      </w:r>
      <w:r w:rsidR="00C4480F">
        <w:t xml:space="preserve"> Zunahme margenstarker Geschäfte</w:t>
      </w:r>
      <w:r w:rsidR="000B3D4A">
        <w:t xml:space="preserve"> </w:t>
      </w:r>
      <w:r>
        <w:t xml:space="preserve"> </w:t>
      </w:r>
    </w:p>
    <w:p w:rsidR="00E436DA" w:rsidRDefault="002A71D3" w:rsidP="00B97F01">
      <w:pPr>
        <w:pStyle w:val="MMFlietext"/>
      </w:pPr>
      <w:r>
        <w:t xml:space="preserve">Der </w:t>
      </w:r>
      <w:r w:rsidR="000B3D4A" w:rsidRPr="003A4093">
        <w:t xml:space="preserve">Unternehmensbereich </w:t>
      </w:r>
      <w:proofErr w:type="spellStart"/>
      <w:r w:rsidR="000B3D4A" w:rsidRPr="003A4093">
        <w:t>Wire</w:t>
      </w:r>
      <w:proofErr w:type="spellEnd"/>
      <w:r w:rsidR="000B3D4A" w:rsidRPr="003A4093">
        <w:t xml:space="preserve"> &amp; Cable Solutions</w:t>
      </w:r>
      <w:r w:rsidR="00C4480F">
        <w:t xml:space="preserve"> (WCS)</w:t>
      </w:r>
      <w:r w:rsidR="000B3D4A" w:rsidRPr="003A4093">
        <w:t xml:space="preserve"> </w:t>
      </w:r>
      <w:r>
        <w:t>profitierte</w:t>
      </w:r>
      <w:r w:rsidR="00B97F01">
        <w:t xml:space="preserve"> davon, dass sich fast alle </w:t>
      </w:r>
      <w:r w:rsidR="00984F8E">
        <w:t>Abnehmerm</w:t>
      </w:r>
      <w:r w:rsidR="00B97F01">
        <w:t xml:space="preserve">ärkte bis zum Jahresende stärker entwickelten als zunächst geplant. Besonders hoch </w:t>
      </w:r>
      <w:r w:rsidR="00DC2CC0">
        <w:t>war</w:t>
      </w:r>
      <w:r w:rsidR="00B97F01">
        <w:t xml:space="preserve"> die Nachfrage nach Spezialleitungen für die Automobilindustrie sowie nach Kabelsystemen für die Bereiche Automatisierung, Robotik, Petrochemie und Schienenverkehr. </w:t>
      </w:r>
      <w:r w:rsidR="000B3D4A" w:rsidRPr="00BB4E8F">
        <w:t xml:space="preserve">Der Außenumsatz des Segments erhöhte sich </w:t>
      </w:r>
      <w:r w:rsidR="000B3D4A">
        <w:t xml:space="preserve">im Berichtsjahr </w:t>
      </w:r>
      <w:r w:rsidR="000B3D4A" w:rsidRPr="00BB4E8F">
        <w:t xml:space="preserve">um </w:t>
      </w:r>
      <w:r w:rsidR="00B97F01">
        <w:t>27</w:t>
      </w:r>
      <w:r w:rsidR="000B3D4A" w:rsidRPr="00BB4E8F">
        <w:t xml:space="preserve"> Prozent auf</w:t>
      </w:r>
      <w:r w:rsidR="00B97F01">
        <w:t xml:space="preserve"> </w:t>
      </w:r>
      <w:r w:rsidR="00B97F01" w:rsidRPr="00B97F01">
        <w:t xml:space="preserve">1.677,7 Mio. </w:t>
      </w:r>
      <w:r w:rsidR="00B97F01">
        <w:t>Euro</w:t>
      </w:r>
      <w:r w:rsidR="00B97F01" w:rsidRPr="00BB4E8F">
        <w:t xml:space="preserve"> </w:t>
      </w:r>
      <w:r w:rsidR="00B97F01">
        <w:t xml:space="preserve">(Vorjahr: </w:t>
      </w:r>
      <w:r w:rsidR="000B3D4A" w:rsidRPr="00BB4E8F">
        <w:t>1.321,</w:t>
      </w:r>
      <w:r w:rsidR="000B3D4A">
        <w:t>5</w:t>
      </w:r>
      <w:r w:rsidR="000B3D4A" w:rsidRPr="00BB4E8F">
        <w:t xml:space="preserve"> Mio. </w:t>
      </w:r>
      <w:r w:rsidR="000B3D4A">
        <w:t>Euro</w:t>
      </w:r>
      <w:r w:rsidR="000B3D4A" w:rsidRPr="00FA6E82">
        <w:t>)</w:t>
      </w:r>
      <w:r w:rsidR="000B3D4A">
        <w:t xml:space="preserve">. </w:t>
      </w:r>
      <w:r w:rsidR="000B3D4A" w:rsidRPr="00FA6E82">
        <w:t xml:space="preserve">Das </w:t>
      </w:r>
      <w:r w:rsidR="00B97F01">
        <w:t>Bereichs-</w:t>
      </w:r>
      <w:r w:rsidR="000B3D4A" w:rsidRPr="00FA6E82">
        <w:t xml:space="preserve">EBIT </w:t>
      </w:r>
      <w:r w:rsidR="00984F8E">
        <w:t xml:space="preserve">profitierte von </w:t>
      </w:r>
      <w:r w:rsidR="00984F8E" w:rsidRPr="00984F8E">
        <w:t xml:space="preserve">der hohen Auslastung </w:t>
      </w:r>
      <w:r w:rsidR="00984F8E">
        <w:t>der</w:t>
      </w:r>
      <w:r w:rsidR="00984F8E" w:rsidRPr="00984F8E">
        <w:t xml:space="preserve"> Kapazitäten</w:t>
      </w:r>
      <w:r w:rsidR="00984F8E">
        <w:t xml:space="preserve"> und einem w</w:t>
      </w:r>
      <w:r w:rsidR="00984F8E" w:rsidRPr="00984F8E">
        <w:t>achsenden Anteil margenstarker Bereiche</w:t>
      </w:r>
      <w:r w:rsidR="00984F8E">
        <w:t xml:space="preserve">: Es stieg um mehr als 60 Prozent </w:t>
      </w:r>
      <w:r w:rsidR="00B97F01">
        <w:t xml:space="preserve">auf </w:t>
      </w:r>
      <w:r w:rsidR="00984F8E">
        <w:t xml:space="preserve">90,9 Mio. Euro (Vorjahr: </w:t>
      </w:r>
      <w:r w:rsidR="000B3D4A">
        <w:t>56,3 Mio. Euro</w:t>
      </w:r>
      <w:r w:rsidR="000B3D4A" w:rsidRPr="00FA6E82">
        <w:t>)</w:t>
      </w:r>
      <w:r w:rsidR="000B3D4A">
        <w:t>.</w:t>
      </w:r>
      <w:r w:rsidR="00E436DA">
        <w:t xml:space="preserve"> </w:t>
      </w:r>
    </w:p>
    <w:p w:rsidR="00E436DA" w:rsidRPr="008B1883" w:rsidRDefault="00E436DA" w:rsidP="00E436DA">
      <w:pPr>
        <w:pStyle w:val="MMZwischenberschrift"/>
      </w:pPr>
      <w:r>
        <w:t xml:space="preserve">WSD: </w:t>
      </w:r>
      <w:r w:rsidR="00C4480F">
        <w:t>Starkes Wachstum in China, Russland und den USA</w:t>
      </w:r>
    </w:p>
    <w:p w:rsidR="00984F8E" w:rsidRDefault="00984F8E" w:rsidP="00AA4C14">
      <w:pPr>
        <w:pStyle w:val="MMFlietext"/>
      </w:pPr>
      <w:r>
        <w:t>Die anhaltende Dynamik der weltweiten Automobil</w:t>
      </w:r>
      <w:r w:rsidR="00AA4C14">
        <w:t>- und Nutzfahrzeug</w:t>
      </w:r>
      <w:r>
        <w:t xml:space="preserve">industrie führte im </w:t>
      </w:r>
      <w:r w:rsidRPr="00240866">
        <w:t xml:space="preserve">Unternehmensbereich </w:t>
      </w:r>
      <w:proofErr w:type="spellStart"/>
      <w:r w:rsidRPr="00240866">
        <w:t>Wiring</w:t>
      </w:r>
      <w:proofErr w:type="spellEnd"/>
      <w:r w:rsidRPr="00240866">
        <w:t xml:space="preserve"> Systems </w:t>
      </w:r>
      <w:r w:rsidR="00C4480F">
        <w:t xml:space="preserve">(WSD) </w:t>
      </w:r>
      <w:r>
        <w:t xml:space="preserve">zu einem kräftigen Wachstum, das zusätzlich vom Ausbau der Wettbewerbsposition </w:t>
      </w:r>
      <w:r w:rsidR="00AA4C14">
        <w:t xml:space="preserve">begünstigt wurde. </w:t>
      </w:r>
      <w:r w:rsidR="00AA4C14" w:rsidRPr="00AA4C14">
        <w:t>Regional betrachtet e</w:t>
      </w:r>
      <w:r w:rsidR="00AA4C14">
        <w:t xml:space="preserve">ntfielen </w:t>
      </w:r>
      <w:r w:rsidR="00AA4C14" w:rsidRPr="00AA4C14">
        <w:t xml:space="preserve">die größten Zuwächse </w:t>
      </w:r>
      <w:r w:rsidR="00AA4C14">
        <w:t xml:space="preserve">auf </w:t>
      </w:r>
      <w:r w:rsidR="00AA4C14" w:rsidRPr="00AA4C14">
        <w:t>China und Russland</w:t>
      </w:r>
      <w:r w:rsidR="00AA4C14">
        <w:t xml:space="preserve">, deren frühzeitige Erschließung sich zunehmend auszahlt, sowie auf die USA. </w:t>
      </w:r>
      <w:r w:rsidR="00C4480F">
        <w:t xml:space="preserve">Im Zukunftsmarkt der Elektromobilität gelangen wichtige Fortschritte bei der Erweiterung der Produktpalette und im Projektgeschäft. </w:t>
      </w:r>
      <w:r w:rsidR="00AA4C14">
        <w:t xml:space="preserve">Der </w:t>
      </w:r>
      <w:r w:rsidRPr="00240866">
        <w:t xml:space="preserve">Außenumsatz </w:t>
      </w:r>
      <w:r w:rsidR="00AA4C14">
        <w:t xml:space="preserve">des Segments stieg 2011 </w:t>
      </w:r>
      <w:r w:rsidRPr="00240866">
        <w:t xml:space="preserve">um </w:t>
      </w:r>
      <w:r w:rsidR="00AA4C14" w:rsidRPr="00AA4C14">
        <w:t>rund 24 Prozent auf 2.023,8 Mio</w:t>
      </w:r>
      <w:r w:rsidR="00AA4C14">
        <w:t xml:space="preserve">. Euro (Vorjahr: </w:t>
      </w:r>
      <w:r w:rsidRPr="00240866">
        <w:t xml:space="preserve">1.634,2 Mio. </w:t>
      </w:r>
      <w:r>
        <w:t>Euro</w:t>
      </w:r>
      <w:r w:rsidR="00AA4C14">
        <w:t>)</w:t>
      </w:r>
      <w:r w:rsidR="00691AA8">
        <w:t xml:space="preserve">. Aufgrund </w:t>
      </w:r>
      <w:r w:rsidR="00691AA8" w:rsidRPr="00691AA8">
        <w:t>positive</w:t>
      </w:r>
      <w:r w:rsidR="00691AA8">
        <w:t>r</w:t>
      </w:r>
      <w:r w:rsidR="00691AA8" w:rsidRPr="00691AA8">
        <w:t xml:space="preserve"> Skaleneffekte</w:t>
      </w:r>
      <w:r w:rsidR="00691AA8">
        <w:t xml:space="preserve"> </w:t>
      </w:r>
      <w:r w:rsidR="00AA4C14">
        <w:t xml:space="preserve">und </w:t>
      </w:r>
      <w:r w:rsidR="00691AA8">
        <w:t xml:space="preserve">nachhaltiger </w:t>
      </w:r>
      <w:r w:rsidR="00691AA8" w:rsidRPr="00691AA8">
        <w:t>Strukturverbesserungen</w:t>
      </w:r>
      <w:r w:rsidR="00691AA8">
        <w:t xml:space="preserve"> hat sich das</w:t>
      </w:r>
      <w:r w:rsidR="00AA4C14">
        <w:t xml:space="preserve"> </w:t>
      </w:r>
      <w:r w:rsidRPr="00240866">
        <w:t xml:space="preserve"> </w:t>
      </w:r>
      <w:r w:rsidR="00C4480F">
        <w:t>Bereichs</w:t>
      </w:r>
      <w:r>
        <w:t xml:space="preserve">-EBIT </w:t>
      </w:r>
      <w:r w:rsidR="00691AA8">
        <w:t xml:space="preserve">auf 146,2 Mio. Euro annähernd verdoppelt (Vorjahr: </w:t>
      </w:r>
      <w:r>
        <w:t>74,3 Mio. Euro).</w:t>
      </w:r>
    </w:p>
    <w:p w:rsidR="00E436DA" w:rsidRPr="008B1883" w:rsidRDefault="005B227D" w:rsidP="00E436DA">
      <w:pPr>
        <w:pStyle w:val="MMZwischenberschrift"/>
      </w:pPr>
      <w:r>
        <w:t xml:space="preserve">Kapitalfluss: </w:t>
      </w:r>
      <w:r w:rsidR="003E50A5">
        <w:t>Hoher Cashflow trotz Rekordinvestitionen</w:t>
      </w:r>
      <w:r w:rsidR="00B6668B">
        <w:t xml:space="preserve"> </w:t>
      </w:r>
    </w:p>
    <w:p w:rsidR="003E50A5" w:rsidRDefault="00D5605B" w:rsidP="00B164DD">
      <w:pPr>
        <w:pStyle w:val="MMFlietext"/>
      </w:pPr>
      <w:r>
        <w:t xml:space="preserve">Die Finanzlage der Leoni Gruppe hat sich im Laufe des Geschäftsjahres 2011 wesentlich verbessert. </w:t>
      </w:r>
      <w:r w:rsidR="00B6668B" w:rsidRPr="00B6668B">
        <w:t>Der Free Cashflow vor Dividendenzahlung und Ak</w:t>
      </w:r>
      <w:r>
        <w:t>quisitionen nahm</w:t>
      </w:r>
      <w:r w:rsidR="00B6668B" w:rsidRPr="00B6668B">
        <w:t xml:space="preserve"> um rund 139 Prozent auf 121,2 Mio.</w:t>
      </w:r>
      <w:r w:rsidR="00B6668B">
        <w:t xml:space="preserve"> Euro </w:t>
      </w:r>
      <w:r>
        <w:t xml:space="preserve">(Vorjahr: 50,7 </w:t>
      </w:r>
      <w:r>
        <w:lastRenderedPageBreak/>
        <w:t xml:space="preserve">Mio. Euro) </w:t>
      </w:r>
      <w:r w:rsidR="00B6668B" w:rsidRPr="00B6668B">
        <w:t xml:space="preserve">zu. </w:t>
      </w:r>
      <w:r w:rsidR="00B6668B">
        <w:t xml:space="preserve">Die Kennzahl </w:t>
      </w:r>
      <w:r w:rsidR="00B6668B" w:rsidRPr="00B6668B">
        <w:t xml:space="preserve">stieg </w:t>
      </w:r>
      <w:r w:rsidR="00B6668B">
        <w:t xml:space="preserve">spürbar </w:t>
      </w:r>
      <w:r w:rsidR="00B6668B" w:rsidRPr="00B6668B">
        <w:t xml:space="preserve">stärker als prognostiziert, da </w:t>
      </w:r>
      <w:r w:rsidR="003E50A5">
        <w:t xml:space="preserve">sich </w:t>
      </w:r>
      <w:r w:rsidR="003E50A5" w:rsidRPr="00B6668B">
        <w:t xml:space="preserve">stichtagsbezogene Zahlungsvorgänge in unerwartetem Umfang positiv bemerkbar machten </w:t>
      </w:r>
      <w:r w:rsidR="003E50A5">
        <w:t xml:space="preserve">und </w:t>
      </w:r>
      <w:r>
        <w:t xml:space="preserve">manche der geplanten Investitionsprojekte auf 2012 verschoben </w:t>
      </w:r>
      <w:r w:rsidR="003E50A5">
        <w:t>wurden. Gleichwohl investiert</w:t>
      </w:r>
      <w:r w:rsidR="00DC2CC0">
        <w:t>e</w:t>
      </w:r>
      <w:r w:rsidR="003E50A5">
        <w:t xml:space="preserve"> Leoni die Rekordsumme von 137,4 Mio. Euro in Sachanlagen und immaterielle Vermögenswerte (Vorjahr: 103,1 Mio. Euro)</w:t>
      </w:r>
      <w:r w:rsidR="00514260">
        <w:t xml:space="preserve">, um </w:t>
      </w:r>
      <w:r w:rsidR="005B227D">
        <w:t>der gestiegene</w:t>
      </w:r>
      <w:r w:rsidR="009E32AD">
        <w:t>n</w:t>
      </w:r>
      <w:r w:rsidR="005B227D">
        <w:t xml:space="preserve"> Nachfrage zu entsprechen und </w:t>
      </w:r>
      <w:r w:rsidR="00DC2CC0">
        <w:t xml:space="preserve">Kapazitäten für </w:t>
      </w:r>
      <w:r w:rsidR="005B227D">
        <w:t xml:space="preserve">Neuprojekte </w:t>
      </w:r>
      <w:r w:rsidR="00DC2CC0">
        <w:t>vorzubereiten.</w:t>
      </w:r>
      <w:r w:rsidR="00EB524C">
        <w:t xml:space="preserve"> </w:t>
      </w:r>
    </w:p>
    <w:p w:rsidR="003E50A5" w:rsidRPr="008B1883" w:rsidRDefault="003E50A5" w:rsidP="003E50A5">
      <w:pPr>
        <w:pStyle w:val="MMZwischenberschrift"/>
      </w:pPr>
      <w:r>
        <w:t xml:space="preserve">Finanzlage: Mehr Eigenkapital, weniger Nettofinanzschulden </w:t>
      </w:r>
    </w:p>
    <w:p w:rsidR="00B164DD" w:rsidRDefault="00C95498" w:rsidP="00B164DD">
      <w:pPr>
        <w:pStyle w:val="MMFlietext"/>
      </w:pPr>
      <w:r>
        <w:t xml:space="preserve">Infolge </w:t>
      </w:r>
      <w:r w:rsidR="00B6668B" w:rsidRPr="00B6668B">
        <w:t xml:space="preserve">des hohen </w:t>
      </w:r>
      <w:r>
        <w:t>Geldzuflusses und</w:t>
      </w:r>
      <w:r w:rsidR="00B6668B" w:rsidRPr="00B6668B">
        <w:t xml:space="preserve"> der </w:t>
      </w:r>
      <w:r>
        <w:t>Erlöse</w:t>
      </w:r>
      <w:r w:rsidR="00B6668B" w:rsidRPr="00B6668B">
        <w:t xml:space="preserve"> aus der </w:t>
      </w:r>
      <w:r w:rsidR="003E50A5">
        <w:t xml:space="preserve">10-prozentigen </w:t>
      </w:r>
      <w:r w:rsidR="00B6668B" w:rsidRPr="00B6668B">
        <w:t xml:space="preserve">Kapitalerhöhung </w:t>
      </w:r>
      <w:r w:rsidR="00EB524C">
        <w:t xml:space="preserve">haben sich </w:t>
      </w:r>
      <w:r w:rsidR="00B6668B" w:rsidRPr="00B6668B">
        <w:t>die Nettofinanz</w:t>
      </w:r>
      <w:r w:rsidR="00EB524C">
        <w:t>schulden</w:t>
      </w:r>
      <w:r w:rsidR="00B6668B" w:rsidRPr="00B6668B">
        <w:t xml:space="preserve"> per 31. Dezember 2011 </w:t>
      </w:r>
      <w:r w:rsidR="00EB524C" w:rsidRPr="00B6668B">
        <w:t xml:space="preserve">auf 233,9 Mio. </w:t>
      </w:r>
      <w:r w:rsidR="00EB524C">
        <w:t xml:space="preserve">Euro </w:t>
      </w:r>
      <w:r>
        <w:t xml:space="preserve">annähernd halbiert </w:t>
      </w:r>
      <w:r w:rsidR="00EB524C">
        <w:t xml:space="preserve">(Vorjahr: </w:t>
      </w:r>
      <w:r w:rsidR="00B6668B" w:rsidRPr="00B6668B">
        <w:t xml:space="preserve">444,6 Mio. </w:t>
      </w:r>
      <w:r w:rsidR="00EB524C">
        <w:t>Euro)</w:t>
      </w:r>
      <w:r>
        <w:t>.</w:t>
      </w:r>
      <w:r w:rsidR="00B164DD">
        <w:t xml:space="preserve"> Gleichzeitig nahm das Eigenkapital um mehr als die Hälfte auf </w:t>
      </w:r>
      <w:r w:rsidR="008A424F" w:rsidRPr="00B164DD">
        <w:t xml:space="preserve">737,5 Mio. </w:t>
      </w:r>
      <w:r w:rsidR="00B164DD">
        <w:t>Euro zu (Vorjahr: 481,2 Mio. Euro), und d</w:t>
      </w:r>
      <w:r w:rsidR="00B164DD" w:rsidRPr="00B164DD">
        <w:t xml:space="preserve">ie Eigenkapitalquote </w:t>
      </w:r>
      <w:r w:rsidR="00B164DD">
        <w:t xml:space="preserve">stieg </w:t>
      </w:r>
      <w:r w:rsidR="00B164DD" w:rsidRPr="00B164DD">
        <w:t xml:space="preserve">auf 31,8 Prozent </w:t>
      </w:r>
      <w:r w:rsidR="00B164DD">
        <w:t>(Vorjahr: 23,8 Prozent)</w:t>
      </w:r>
      <w:r w:rsidR="00B164DD" w:rsidRPr="00B164DD">
        <w:t xml:space="preserve">. </w:t>
      </w:r>
      <w:r w:rsidR="008A424F" w:rsidRPr="00B164DD">
        <w:t>Das Verhältnis von Nettofinanzverschuldung zu Eigenkapital (</w:t>
      </w:r>
      <w:proofErr w:type="spellStart"/>
      <w:r w:rsidR="008A424F" w:rsidRPr="00B164DD">
        <w:t>Gearing</w:t>
      </w:r>
      <w:proofErr w:type="spellEnd"/>
      <w:r w:rsidR="008A424F" w:rsidRPr="00B164DD">
        <w:t xml:space="preserve">) betrug </w:t>
      </w:r>
      <w:r w:rsidR="00B164DD">
        <w:t xml:space="preserve">am Jahresende </w:t>
      </w:r>
      <w:r w:rsidR="008A424F" w:rsidRPr="00B164DD">
        <w:t>3</w:t>
      </w:r>
      <w:r w:rsidR="008B617B">
        <w:t>2</w:t>
      </w:r>
      <w:r w:rsidR="008A424F" w:rsidRPr="00B164DD">
        <w:t xml:space="preserve"> Prozent </w:t>
      </w:r>
      <w:r w:rsidR="00B164DD">
        <w:t xml:space="preserve">(Vorjahr: </w:t>
      </w:r>
      <w:r w:rsidR="008A424F" w:rsidRPr="00B164DD">
        <w:t>92 Prozent</w:t>
      </w:r>
      <w:r w:rsidR="00B164DD">
        <w:t xml:space="preserve">). </w:t>
      </w:r>
      <w:r w:rsidR="00B164DD" w:rsidRPr="00B164DD">
        <w:t>D</w:t>
      </w:r>
      <w:r w:rsidR="003E50A5">
        <w:t>ie Kapitalrendite (</w:t>
      </w:r>
      <w:r w:rsidR="00B164DD" w:rsidRPr="00B164DD">
        <w:t>ROCE</w:t>
      </w:r>
      <w:r w:rsidR="003E50A5">
        <w:t xml:space="preserve">) verbesserte sich binnen Jahresfrist deutlich </w:t>
      </w:r>
      <w:r w:rsidR="00B164DD" w:rsidRPr="00B164DD">
        <w:t>von 13,9 Prozent auf 24,0 Prozent.</w:t>
      </w:r>
    </w:p>
    <w:p w:rsidR="00E436DA" w:rsidRPr="008B1883" w:rsidRDefault="00E436DA" w:rsidP="00E436DA">
      <w:pPr>
        <w:pStyle w:val="MMZwischenberschrift"/>
      </w:pPr>
      <w:r>
        <w:t xml:space="preserve">Prognose: </w:t>
      </w:r>
      <w:r w:rsidR="00F9437E">
        <w:t xml:space="preserve">Fortgesetztes Wachstum bei steigender Ertragskraft </w:t>
      </w:r>
    </w:p>
    <w:p w:rsidR="00883645" w:rsidRPr="008B1883" w:rsidRDefault="00990335" w:rsidP="008B1883">
      <w:pPr>
        <w:pStyle w:val="MMFlietext"/>
      </w:pPr>
      <w:r w:rsidRPr="00F9437E">
        <w:t xml:space="preserve">Leoni </w:t>
      </w:r>
      <w:r>
        <w:t xml:space="preserve">geht davon aus, </w:t>
      </w:r>
      <w:r w:rsidR="005B227D" w:rsidRPr="00F9437E">
        <w:t>seinen Expansionskurs im Geschäftsjahr 2012 fortzusetzen</w:t>
      </w:r>
      <w:r>
        <w:t xml:space="preserve">, wobei sich </w:t>
      </w:r>
      <w:r w:rsidR="005B227D" w:rsidRPr="00F9437E">
        <w:t>d</w:t>
      </w:r>
      <w:r>
        <w:t>ie Dynamik</w:t>
      </w:r>
      <w:r w:rsidR="005B227D" w:rsidRPr="00F9437E">
        <w:t xml:space="preserve"> angesichts des überraschend starken Zuwachses 2011 verlangsamen</w:t>
      </w:r>
      <w:r>
        <w:t xml:space="preserve"> wird</w:t>
      </w:r>
      <w:r w:rsidR="005B227D" w:rsidRPr="00F9437E">
        <w:t xml:space="preserve">. </w:t>
      </w:r>
      <w:r w:rsidR="00F9437E" w:rsidRPr="00F9437E">
        <w:t xml:space="preserve">Das Unternehmen </w:t>
      </w:r>
      <w:r>
        <w:t>plant</w:t>
      </w:r>
      <w:r w:rsidR="00F9437E" w:rsidRPr="00F9437E">
        <w:t xml:space="preserve">, </w:t>
      </w:r>
      <w:r w:rsidR="00E436DA">
        <w:t xml:space="preserve">in Abhängigkeit von der weltweiten Konjunkturlage den Konzernumsatz auf 3,8 bis 4,0 Mrd. Euro </w:t>
      </w:r>
      <w:r>
        <w:t xml:space="preserve">zu </w:t>
      </w:r>
      <w:r w:rsidR="00E436DA">
        <w:t xml:space="preserve">steigern. </w:t>
      </w:r>
      <w:r w:rsidR="00F9437E">
        <w:t xml:space="preserve">Das EBIT sollte sich in der Spanne von 230 bis 280 Mio. Euro bewegen. Weiterhin ist für 2012 </w:t>
      </w:r>
      <w:r>
        <w:t>vorgesehen</w:t>
      </w:r>
      <w:r w:rsidR="00F9437E">
        <w:t xml:space="preserve">, die Kapitalrendite und die Eigenkapitalquote über den Schwellen von 20 Prozent </w:t>
      </w:r>
      <w:r>
        <w:t xml:space="preserve">respektive </w:t>
      </w:r>
      <w:r w:rsidR="00F9437E">
        <w:t xml:space="preserve">30 Prozent zu halten. Das Investitionsvolumen wird voraussichtlich auf 155 bis 185 Mio. Euro steigen.  </w:t>
      </w:r>
    </w:p>
    <w:p w:rsidR="005456EE" w:rsidRDefault="005456EE" w:rsidP="005456EE">
      <w:pPr>
        <w:spacing w:after="120"/>
        <w:ind w:right="1922"/>
        <w:rPr>
          <w:rFonts w:ascii="Arial" w:hAnsi="Arial" w:cs="Arial"/>
          <w:i/>
          <w:sz w:val="21"/>
          <w:szCs w:val="21"/>
        </w:rPr>
      </w:pPr>
      <w:r w:rsidRPr="006D36F9">
        <w:rPr>
          <w:rFonts w:ascii="Arial" w:hAnsi="Arial" w:cs="Arial"/>
          <w:i/>
          <w:sz w:val="21"/>
          <w:szCs w:val="21"/>
        </w:rPr>
        <w:t>(</w:t>
      </w:r>
      <w:r w:rsidR="008176B2">
        <w:rPr>
          <w:rFonts w:ascii="Arial" w:hAnsi="Arial" w:cs="Arial"/>
          <w:i/>
          <w:sz w:val="21"/>
          <w:szCs w:val="21"/>
        </w:rPr>
        <w:t>5.87</w:t>
      </w:r>
      <w:r w:rsidR="00BF4F29">
        <w:rPr>
          <w:rFonts w:ascii="Arial" w:hAnsi="Arial" w:cs="Arial"/>
          <w:i/>
          <w:sz w:val="21"/>
          <w:szCs w:val="21"/>
        </w:rPr>
        <w:t>5</w:t>
      </w:r>
      <w:r w:rsidRPr="006D36F9">
        <w:rPr>
          <w:rFonts w:ascii="Arial" w:hAnsi="Arial" w:cs="Arial"/>
          <w:i/>
          <w:sz w:val="21"/>
          <w:szCs w:val="21"/>
        </w:rPr>
        <w:t xml:space="preserve"> Anschläge inkl.</w:t>
      </w:r>
      <w:r>
        <w:rPr>
          <w:rFonts w:ascii="Arial" w:hAnsi="Arial" w:cs="Arial"/>
          <w:i/>
          <w:sz w:val="21"/>
          <w:szCs w:val="21"/>
        </w:rPr>
        <w:t xml:space="preserve"> Leerzeichen)</w:t>
      </w:r>
    </w:p>
    <w:p w:rsidR="005456EE" w:rsidRPr="009714B0" w:rsidRDefault="00F9437E" w:rsidP="005456EE">
      <w:pPr>
        <w:pStyle w:val="MMKurzprofilberschrift"/>
        <w:spacing w:after="120"/>
      </w:pPr>
      <w:r>
        <w:br w:type="page"/>
      </w:r>
      <w:r w:rsidR="005456EE" w:rsidRPr="009714B0">
        <w:lastRenderedPageBreak/>
        <w:t>Leoni-Konzernzahlen im Überblick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276"/>
        <w:gridCol w:w="1276"/>
      </w:tblGrid>
      <w:tr w:rsidR="005456EE" w:rsidRPr="00DF6351" w:rsidTr="00E436DA">
        <w:tc>
          <w:tcPr>
            <w:tcW w:w="4077" w:type="dxa"/>
          </w:tcPr>
          <w:p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</w:tc>
        <w:tc>
          <w:tcPr>
            <w:tcW w:w="1276" w:type="dxa"/>
          </w:tcPr>
          <w:p w:rsidR="005456EE" w:rsidRPr="00DF6351" w:rsidRDefault="005456EE" w:rsidP="005456EE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5456EE" w:rsidRPr="00DF6351" w:rsidRDefault="005456EE" w:rsidP="005456EE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635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456EE" w:rsidRPr="00DF6351" w:rsidRDefault="005456EE" w:rsidP="00E436DA">
            <w:pPr>
              <w:tabs>
                <w:tab w:val="left" w:pos="8505"/>
              </w:tabs>
              <w:ind w:left="-13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Veränderung</w:t>
            </w:r>
          </w:p>
        </w:tc>
      </w:tr>
      <w:tr w:rsidR="005456EE" w:rsidRPr="00DF6351" w:rsidTr="00E436DA">
        <w:trPr>
          <w:trHeight w:val="284"/>
        </w:trPr>
        <w:tc>
          <w:tcPr>
            <w:tcW w:w="4077" w:type="dxa"/>
            <w:vAlign w:val="center"/>
          </w:tcPr>
          <w:p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F6351">
              <w:rPr>
                <w:rFonts w:ascii="Arial" w:hAnsi="Arial" w:cs="Arial"/>
                <w:sz w:val="18"/>
                <w:szCs w:val="18"/>
              </w:rPr>
              <w:t>msatz</w:t>
            </w:r>
            <w:r w:rsidR="003D4F5D">
              <w:rPr>
                <w:rFonts w:ascii="Arial" w:hAnsi="Arial" w:cs="Arial"/>
                <w:sz w:val="18"/>
                <w:szCs w:val="18"/>
              </w:rPr>
              <w:t>erlöse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:rsidR="005456EE" w:rsidRPr="008920B0" w:rsidRDefault="00990335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176B2">
              <w:rPr>
                <w:rFonts w:ascii="Arial" w:hAnsi="Arial" w:cs="Arial"/>
                <w:sz w:val="18"/>
                <w:szCs w:val="18"/>
              </w:rPr>
              <w:t>3.701,5</w:t>
            </w:r>
          </w:p>
        </w:tc>
        <w:tc>
          <w:tcPr>
            <w:tcW w:w="1276" w:type="dxa"/>
            <w:vAlign w:val="center"/>
          </w:tcPr>
          <w:p w:rsidR="005456EE" w:rsidRPr="008920B0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920B0">
              <w:rPr>
                <w:rFonts w:ascii="Arial" w:hAnsi="Arial" w:cs="Arial"/>
                <w:sz w:val="18"/>
                <w:szCs w:val="18"/>
              </w:rPr>
              <w:t>2.955,7</w:t>
            </w:r>
          </w:p>
        </w:tc>
        <w:tc>
          <w:tcPr>
            <w:tcW w:w="1276" w:type="dxa"/>
            <w:vAlign w:val="center"/>
          </w:tcPr>
          <w:p w:rsidR="005456EE" w:rsidRPr="008920B0" w:rsidRDefault="00A3721C" w:rsidP="00E43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+ 25,2 </w:t>
            </w:r>
            <w:r w:rsidR="005456EE" w:rsidRPr="008920B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456EE" w:rsidRPr="00DF6351" w:rsidTr="00E436DA">
        <w:trPr>
          <w:trHeight w:val="284"/>
        </w:trPr>
        <w:tc>
          <w:tcPr>
            <w:tcW w:w="4077" w:type="dxa"/>
            <w:vAlign w:val="center"/>
          </w:tcPr>
          <w:p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EBIT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:rsidR="005456EE" w:rsidRPr="008920B0" w:rsidRDefault="00990335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176B2">
              <w:rPr>
                <w:rFonts w:ascii="Arial" w:hAnsi="Arial" w:cs="Arial"/>
                <w:sz w:val="18"/>
                <w:szCs w:val="18"/>
              </w:rPr>
              <w:t>237,1</w:t>
            </w:r>
          </w:p>
        </w:tc>
        <w:tc>
          <w:tcPr>
            <w:tcW w:w="1276" w:type="dxa"/>
            <w:vAlign w:val="center"/>
          </w:tcPr>
          <w:p w:rsidR="005456EE" w:rsidRPr="008920B0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920B0">
              <w:rPr>
                <w:rFonts w:ascii="Arial" w:hAnsi="Arial" w:cs="Arial"/>
                <w:sz w:val="18"/>
                <w:szCs w:val="18"/>
              </w:rPr>
              <w:t>130,7</w:t>
            </w:r>
          </w:p>
        </w:tc>
        <w:tc>
          <w:tcPr>
            <w:tcW w:w="1276" w:type="dxa"/>
            <w:vAlign w:val="center"/>
          </w:tcPr>
          <w:p w:rsidR="005456EE" w:rsidRPr="008920B0" w:rsidRDefault="00A3721C" w:rsidP="00A3721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+ 81,4 %</w:t>
            </w:r>
          </w:p>
        </w:tc>
      </w:tr>
      <w:tr w:rsidR="005456EE" w:rsidRPr="00DF6351" w:rsidTr="00E436DA">
        <w:trPr>
          <w:trHeight w:val="284"/>
        </w:trPr>
        <w:tc>
          <w:tcPr>
            <w:tcW w:w="4077" w:type="dxa"/>
            <w:vAlign w:val="center"/>
          </w:tcPr>
          <w:p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Bereinigtes EBIT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351">
              <w:rPr>
                <w:rFonts w:ascii="Arial" w:hAnsi="Arial" w:cs="Arial"/>
                <w:sz w:val="18"/>
                <w:szCs w:val="18"/>
              </w:rPr>
              <w:t>*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:rsidR="005456EE" w:rsidRPr="005713F0" w:rsidRDefault="00990335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176B2">
              <w:rPr>
                <w:rFonts w:ascii="Arial" w:hAnsi="Arial" w:cs="Arial"/>
                <w:sz w:val="18"/>
                <w:szCs w:val="18"/>
              </w:rPr>
              <w:t>260,3</w:t>
            </w:r>
          </w:p>
        </w:tc>
        <w:tc>
          <w:tcPr>
            <w:tcW w:w="1276" w:type="dxa"/>
            <w:vAlign w:val="center"/>
          </w:tcPr>
          <w:p w:rsidR="005456EE" w:rsidRPr="005713F0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920B0">
              <w:rPr>
                <w:rFonts w:ascii="Arial" w:hAnsi="Arial" w:cs="Arial"/>
                <w:sz w:val="18"/>
                <w:szCs w:val="18"/>
              </w:rPr>
              <w:t>154,7</w:t>
            </w:r>
          </w:p>
        </w:tc>
        <w:tc>
          <w:tcPr>
            <w:tcW w:w="1276" w:type="dxa"/>
            <w:vAlign w:val="center"/>
          </w:tcPr>
          <w:p w:rsidR="005456EE" w:rsidRPr="008920B0" w:rsidRDefault="00A3721C" w:rsidP="00E436D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+ 68,3 %</w:t>
            </w:r>
          </w:p>
        </w:tc>
      </w:tr>
      <w:tr w:rsidR="005456EE" w:rsidRPr="00DF6351" w:rsidTr="00E436DA">
        <w:trPr>
          <w:trHeight w:val="284"/>
        </w:trPr>
        <w:tc>
          <w:tcPr>
            <w:tcW w:w="4077" w:type="dxa"/>
            <w:vAlign w:val="center"/>
          </w:tcPr>
          <w:p w:rsidR="005456EE" w:rsidRPr="00DF6351" w:rsidRDefault="005456EE" w:rsidP="002D3B75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EBIT</w:t>
            </w:r>
            <w:r w:rsidR="002D3B75">
              <w:rPr>
                <w:rFonts w:ascii="Arial" w:hAnsi="Arial" w:cs="Arial"/>
                <w:sz w:val="18"/>
                <w:szCs w:val="18"/>
              </w:rPr>
              <w:t>-Marge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%]</w:t>
            </w:r>
          </w:p>
        </w:tc>
        <w:tc>
          <w:tcPr>
            <w:tcW w:w="1276" w:type="dxa"/>
            <w:vAlign w:val="center"/>
          </w:tcPr>
          <w:p w:rsidR="005456EE" w:rsidRPr="008920B0" w:rsidRDefault="00990335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1276" w:type="dxa"/>
            <w:vAlign w:val="center"/>
          </w:tcPr>
          <w:p w:rsidR="005456EE" w:rsidRPr="008920B0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920B0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276" w:type="dxa"/>
            <w:vAlign w:val="center"/>
          </w:tcPr>
          <w:p w:rsidR="005456EE" w:rsidRPr="008920B0" w:rsidRDefault="005456EE" w:rsidP="00E436D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20B0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5456EE" w:rsidRPr="008920B0" w:rsidTr="00E436DA">
        <w:trPr>
          <w:trHeight w:val="284"/>
        </w:trPr>
        <w:tc>
          <w:tcPr>
            <w:tcW w:w="4077" w:type="dxa"/>
            <w:vAlign w:val="center"/>
          </w:tcPr>
          <w:p w:rsidR="005456EE" w:rsidRPr="00DF6351" w:rsidRDefault="003D4F5D" w:rsidP="003D4F5D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Konzern</w:t>
            </w:r>
            <w:r w:rsidR="005456EE" w:rsidRPr="00DF6351">
              <w:rPr>
                <w:rFonts w:ascii="Arial" w:hAnsi="Arial" w:cs="Arial"/>
                <w:sz w:val="18"/>
                <w:szCs w:val="18"/>
              </w:rPr>
              <w:t>überschuss</w:t>
            </w:r>
            <w:r w:rsidR="005456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6EE" w:rsidRPr="00DF6351">
              <w:rPr>
                <w:rFonts w:ascii="Arial" w:hAnsi="Arial" w:cs="Arial"/>
                <w:sz w:val="18"/>
                <w:szCs w:val="18"/>
              </w:rPr>
              <w:t>[in Mio</w:t>
            </w:r>
            <w:r w:rsidR="005456EE">
              <w:rPr>
                <w:rFonts w:ascii="Arial" w:hAnsi="Arial" w:cs="Arial"/>
                <w:sz w:val="18"/>
                <w:szCs w:val="18"/>
              </w:rPr>
              <w:t>.</w:t>
            </w:r>
            <w:r w:rsidR="005456EE"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:rsidR="005456EE" w:rsidRPr="008920B0" w:rsidRDefault="00990335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176B2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276" w:type="dxa"/>
            <w:vAlign w:val="center"/>
          </w:tcPr>
          <w:p w:rsidR="005456EE" w:rsidRPr="008920B0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920B0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276" w:type="dxa"/>
            <w:vAlign w:val="center"/>
          </w:tcPr>
          <w:p w:rsidR="005456EE" w:rsidRPr="008920B0" w:rsidRDefault="00A3721C" w:rsidP="00A3721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+ 132,1 %</w:t>
            </w:r>
          </w:p>
        </w:tc>
      </w:tr>
      <w:tr w:rsidR="005456EE" w:rsidRPr="00DF6351" w:rsidTr="00E436DA">
        <w:trPr>
          <w:trHeight w:val="284"/>
        </w:trPr>
        <w:tc>
          <w:tcPr>
            <w:tcW w:w="4077" w:type="dxa"/>
            <w:vAlign w:val="center"/>
          </w:tcPr>
          <w:p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 xml:space="preserve">Free Cashflow </w:t>
            </w:r>
            <w:r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Pr="00DF6351">
              <w:rPr>
                <w:rFonts w:ascii="Arial" w:hAnsi="Arial" w:cs="Arial"/>
                <w:sz w:val="18"/>
                <w:szCs w:val="18"/>
              </w:rPr>
              <w:t>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:rsidR="005456EE" w:rsidRPr="008920B0" w:rsidRDefault="00990335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176B2">
              <w:rPr>
                <w:rFonts w:ascii="Arial" w:hAnsi="Arial" w:cs="Arial"/>
                <w:sz w:val="18"/>
                <w:szCs w:val="18"/>
              </w:rPr>
              <w:t>121,2</w:t>
            </w:r>
          </w:p>
        </w:tc>
        <w:tc>
          <w:tcPr>
            <w:tcW w:w="1276" w:type="dxa"/>
            <w:vAlign w:val="center"/>
          </w:tcPr>
          <w:p w:rsidR="005456EE" w:rsidRPr="008920B0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920B0"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276" w:type="dxa"/>
            <w:vAlign w:val="center"/>
          </w:tcPr>
          <w:p w:rsidR="005456EE" w:rsidRPr="008920B0" w:rsidRDefault="00A3721C" w:rsidP="00A3721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+ 139,1 %</w:t>
            </w:r>
          </w:p>
        </w:tc>
      </w:tr>
      <w:tr w:rsidR="005456EE" w:rsidRPr="00DF6351" w:rsidTr="00E436DA">
        <w:trPr>
          <w:trHeight w:val="284"/>
        </w:trPr>
        <w:tc>
          <w:tcPr>
            <w:tcW w:w="4077" w:type="dxa"/>
            <w:vAlign w:val="center"/>
          </w:tcPr>
          <w:p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56EE">
              <w:rPr>
                <w:rFonts w:ascii="Arial" w:hAnsi="Arial" w:cs="Arial"/>
                <w:sz w:val="18"/>
                <w:szCs w:val="18"/>
                <w:lang w:val="en-US"/>
              </w:rPr>
              <w:t>Return on Cap</w:t>
            </w:r>
            <w:proofErr w:type="spellStart"/>
            <w:r w:rsidRPr="00DF6351">
              <w:rPr>
                <w:rFonts w:ascii="Arial" w:hAnsi="Arial" w:cs="Arial"/>
                <w:sz w:val="18"/>
                <w:szCs w:val="18"/>
                <w:lang w:val="en-GB"/>
              </w:rPr>
              <w:t>ital</w:t>
            </w:r>
            <w:proofErr w:type="spellEnd"/>
            <w:r w:rsidRPr="00DF6351">
              <w:rPr>
                <w:rFonts w:ascii="Arial" w:hAnsi="Arial" w:cs="Arial"/>
                <w:sz w:val="18"/>
                <w:szCs w:val="18"/>
                <w:lang w:val="en-GB"/>
              </w:rPr>
              <w:t xml:space="preserve"> Employed [in %]</w:t>
            </w:r>
          </w:p>
        </w:tc>
        <w:tc>
          <w:tcPr>
            <w:tcW w:w="1276" w:type="dxa"/>
            <w:vAlign w:val="center"/>
          </w:tcPr>
          <w:p w:rsidR="005456EE" w:rsidRPr="008176B2" w:rsidRDefault="00A3721C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176B2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276" w:type="dxa"/>
            <w:vAlign w:val="center"/>
          </w:tcPr>
          <w:p w:rsidR="005456EE" w:rsidRPr="005713F0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5713F0"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1276" w:type="dxa"/>
            <w:vAlign w:val="center"/>
          </w:tcPr>
          <w:p w:rsidR="005456EE" w:rsidRPr="008920B0" w:rsidRDefault="005456EE" w:rsidP="00E436D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20B0">
              <w:rPr>
                <w:rFonts w:ascii="Arial" w:hAnsi="Arial" w:cs="Arial"/>
                <w:sz w:val="18"/>
                <w:szCs w:val="18"/>
                <w:lang w:val="en-GB"/>
              </w:rPr>
              <w:t>--</w:t>
            </w:r>
          </w:p>
        </w:tc>
      </w:tr>
      <w:tr w:rsidR="005456EE" w:rsidRPr="00DF6351" w:rsidTr="00E436DA">
        <w:trPr>
          <w:trHeight w:val="284"/>
        </w:trPr>
        <w:tc>
          <w:tcPr>
            <w:tcW w:w="4077" w:type="dxa"/>
            <w:vAlign w:val="center"/>
          </w:tcPr>
          <w:p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Investitionen in Sachanlagen und immaterielle Vermögenswerte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:rsidR="005456EE" w:rsidRPr="008920B0" w:rsidRDefault="00A3721C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276" w:type="dxa"/>
            <w:vAlign w:val="center"/>
          </w:tcPr>
          <w:p w:rsidR="005456EE" w:rsidRPr="008920B0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  <w:tc>
          <w:tcPr>
            <w:tcW w:w="1276" w:type="dxa"/>
            <w:vAlign w:val="center"/>
          </w:tcPr>
          <w:p w:rsidR="005456EE" w:rsidRPr="008920B0" w:rsidRDefault="005456EE" w:rsidP="00A3721C">
            <w:pPr>
              <w:rPr>
                <w:rFonts w:ascii="Arial" w:hAnsi="Arial" w:cs="Arial"/>
                <w:sz w:val="18"/>
                <w:szCs w:val="18"/>
              </w:rPr>
            </w:pPr>
            <w:r w:rsidRPr="008920B0">
              <w:rPr>
                <w:rFonts w:ascii="Arial" w:hAnsi="Arial" w:cs="Arial"/>
                <w:sz w:val="18"/>
                <w:szCs w:val="18"/>
              </w:rPr>
              <w:t>+</w:t>
            </w:r>
            <w:r w:rsidR="00A3721C">
              <w:rPr>
                <w:rFonts w:ascii="Arial" w:hAnsi="Arial" w:cs="Arial"/>
                <w:sz w:val="18"/>
                <w:szCs w:val="18"/>
              </w:rPr>
              <w:t xml:space="preserve"> 33,3</w:t>
            </w:r>
            <w:r w:rsidRPr="008920B0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456EE" w:rsidRPr="00DF6351" w:rsidTr="00E436DA">
        <w:trPr>
          <w:trHeight w:val="284"/>
        </w:trPr>
        <w:tc>
          <w:tcPr>
            <w:tcW w:w="4077" w:type="dxa"/>
            <w:vAlign w:val="center"/>
          </w:tcPr>
          <w:p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Akquisitionen und Finanzinvestitionen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:rsidR="005456EE" w:rsidRPr="008920B0" w:rsidRDefault="00A3721C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276" w:type="dxa"/>
            <w:vAlign w:val="center"/>
          </w:tcPr>
          <w:p w:rsidR="005456EE" w:rsidRPr="008920B0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920B0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276" w:type="dxa"/>
            <w:vAlign w:val="center"/>
          </w:tcPr>
          <w:p w:rsidR="005456EE" w:rsidRPr="008920B0" w:rsidRDefault="00A3721C" w:rsidP="00A3721C">
            <w:pPr>
              <w:rPr>
                <w:rFonts w:ascii="Arial" w:hAnsi="Arial" w:cs="Arial"/>
                <w:sz w:val="18"/>
                <w:szCs w:val="18"/>
              </w:rPr>
            </w:pPr>
            <w:r w:rsidRPr="00A3721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37,2 %</w:t>
            </w:r>
          </w:p>
        </w:tc>
      </w:tr>
      <w:tr w:rsidR="005456EE" w:rsidRPr="00DF6351" w:rsidTr="00E436DA">
        <w:trPr>
          <w:trHeight w:val="284"/>
        </w:trPr>
        <w:tc>
          <w:tcPr>
            <w:tcW w:w="4077" w:type="dxa"/>
            <w:vAlign w:val="center"/>
          </w:tcPr>
          <w:p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Mitarbeiter (per 31.12.)</w:t>
            </w:r>
          </w:p>
        </w:tc>
        <w:tc>
          <w:tcPr>
            <w:tcW w:w="1276" w:type="dxa"/>
            <w:vAlign w:val="center"/>
          </w:tcPr>
          <w:p w:rsidR="005456EE" w:rsidRPr="008920B0" w:rsidRDefault="00A3721C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60.745</w:t>
            </w:r>
          </w:p>
        </w:tc>
        <w:tc>
          <w:tcPr>
            <w:tcW w:w="1276" w:type="dxa"/>
            <w:vAlign w:val="center"/>
          </w:tcPr>
          <w:p w:rsidR="005456EE" w:rsidRPr="008920B0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920B0">
              <w:rPr>
                <w:rFonts w:ascii="Arial" w:hAnsi="Arial" w:cs="Arial"/>
                <w:sz w:val="18"/>
                <w:szCs w:val="18"/>
              </w:rPr>
              <w:t>55.156</w:t>
            </w:r>
          </w:p>
        </w:tc>
        <w:tc>
          <w:tcPr>
            <w:tcW w:w="1276" w:type="dxa"/>
            <w:vAlign w:val="center"/>
          </w:tcPr>
          <w:p w:rsidR="005456EE" w:rsidRPr="008920B0" w:rsidRDefault="005456EE" w:rsidP="005456EE">
            <w:pPr>
              <w:rPr>
                <w:rFonts w:ascii="Arial" w:hAnsi="Arial" w:cs="Arial"/>
                <w:sz w:val="18"/>
                <w:szCs w:val="18"/>
              </w:rPr>
            </w:pPr>
            <w:r w:rsidRPr="008920B0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A3721C">
              <w:rPr>
                <w:rFonts w:ascii="Arial" w:hAnsi="Arial" w:cs="Arial"/>
                <w:sz w:val="18"/>
                <w:szCs w:val="18"/>
              </w:rPr>
              <w:t>10,1</w:t>
            </w:r>
            <w:r w:rsidRPr="008920B0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</w:tbl>
    <w:p w:rsidR="005456EE" w:rsidRPr="009714B0" w:rsidRDefault="005456EE" w:rsidP="002D3B75">
      <w:pPr>
        <w:spacing w:before="240"/>
        <w:ind w:right="1285"/>
        <w:rPr>
          <w:rFonts w:ascii="Arial" w:hAnsi="Arial" w:cs="Arial"/>
          <w:i/>
          <w:sz w:val="16"/>
          <w:szCs w:val="16"/>
        </w:rPr>
      </w:pPr>
      <w:r w:rsidRPr="008920B0">
        <w:rPr>
          <w:rFonts w:ascii="Arial" w:hAnsi="Arial" w:cs="Arial"/>
          <w:i/>
          <w:sz w:val="16"/>
          <w:szCs w:val="16"/>
        </w:rPr>
        <w:t xml:space="preserve">* Ergebnis bereinigt um die Effekte aus der Neubewertung im Rahmen der Kaufpreisverteilung wesentlicher Akquisitionen, Restrukturierungen, Wertminderungen langfristiger Vermögenswerte, Gewinne aus Unternehmenserwerben und </w:t>
      </w:r>
      <w:r w:rsidR="008176B2">
        <w:rPr>
          <w:rFonts w:ascii="Arial" w:hAnsi="Arial" w:cs="Arial"/>
          <w:i/>
          <w:sz w:val="16"/>
          <w:szCs w:val="16"/>
        </w:rPr>
        <w:t xml:space="preserve">Ergebnisse aus </w:t>
      </w:r>
      <w:r w:rsidRPr="008920B0">
        <w:rPr>
          <w:rFonts w:ascii="Arial" w:hAnsi="Arial" w:cs="Arial"/>
          <w:i/>
          <w:sz w:val="16"/>
          <w:szCs w:val="16"/>
        </w:rPr>
        <w:t>Derivate</w:t>
      </w:r>
      <w:r w:rsidR="008176B2">
        <w:rPr>
          <w:rFonts w:ascii="Arial" w:hAnsi="Arial" w:cs="Arial"/>
          <w:i/>
          <w:sz w:val="16"/>
          <w:szCs w:val="16"/>
        </w:rPr>
        <w:t>n im Zusammenhang mi</w:t>
      </w:r>
      <w:r w:rsidR="002D3B75">
        <w:rPr>
          <w:rFonts w:ascii="Arial" w:hAnsi="Arial" w:cs="Arial"/>
          <w:i/>
          <w:sz w:val="16"/>
          <w:szCs w:val="16"/>
        </w:rPr>
        <w:t xml:space="preserve">t </w:t>
      </w:r>
      <w:r w:rsidRPr="008920B0">
        <w:rPr>
          <w:rFonts w:ascii="Arial" w:hAnsi="Arial" w:cs="Arial"/>
          <w:i/>
          <w:sz w:val="16"/>
          <w:szCs w:val="16"/>
        </w:rPr>
        <w:t>Unternehmenszusammenschlüssen</w:t>
      </w:r>
      <w:r w:rsidR="008176B2">
        <w:rPr>
          <w:rFonts w:ascii="Arial" w:hAnsi="Arial" w:cs="Arial"/>
          <w:i/>
          <w:sz w:val="16"/>
          <w:szCs w:val="16"/>
        </w:rPr>
        <w:br/>
      </w:r>
      <w:r w:rsidRPr="008920B0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*</w:t>
      </w:r>
      <w:r w:rsidRPr="008920B0">
        <w:rPr>
          <w:rFonts w:ascii="Arial" w:hAnsi="Arial" w:cs="Arial"/>
          <w:i/>
          <w:sz w:val="16"/>
          <w:szCs w:val="16"/>
        </w:rPr>
        <w:t xml:space="preserve"> </w:t>
      </w:r>
      <w:r w:rsidRPr="009714B0">
        <w:rPr>
          <w:rFonts w:ascii="Arial" w:hAnsi="Arial" w:cs="Arial"/>
          <w:i/>
          <w:sz w:val="16"/>
          <w:szCs w:val="16"/>
        </w:rPr>
        <w:t xml:space="preserve"> vor Akquisitionen</w:t>
      </w:r>
      <w:r w:rsidR="008176B2">
        <w:rPr>
          <w:rFonts w:ascii="Arial" w:hAnsi="Arial" w:cs="Arial"/>
          <w:i/>
          <w:sz w:val="16"/>
          <w:szCs w:val="16"/>
        </w:rPr>
        <w:t xml:space="preserve"> und</w:t>
      </w:r>
      <w:r w:rsidRPr="009714B0">
        <w:rPr>
          <w:rFonts w:ascii="Arial" w:hAnsi="Arial" w:cs="Arial"/>
          <w:i/>
          <w:sz w:val="16"/>
          <w:szCs w:val="16"/>
        </w:rPr>
        <w:t xml:space="preserve"> Dividende</w:t>
      </w:r>
      <w:r w:rsidR="008176B2">
        <w:rPr>
          <w:rFonts w:ascii="Arial" w:hAnsi="Arial" w:cs="Arial"/>
          <w:i/>
          <w:sz w:val="16"/>
          <w:szCs w:val="16"/>
        </w:rPr>
        <w:br/>
      </w:r>
      <w:r w:rsidR="008176B2">
        <w:rPr>
          <w:rFonts w:ascii="Arial" w:hAnsi="Arial" w:cs="Arial"/>
          <w:i/>
          <w:sz w:val="16"/>
          <w:szCs w:val="16"/>
        </w:rPr>
        <w:br/>
      </w: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Pr="00DF6351">
        <w:rPr>
          <w:rFonts w:ascii="Arial" w:hAnsi="Arial" w:cs="Arial"/>
          <w:i/>
          <w:sz w:val="21"/>
          <w:szCs w:val="21"/>
        </w:rPr>
        <w:t xml:space="preserve">Illustrationsmaterial und weitere Informationen finden Sie </w:t>
      </w:r>
      <w:r w:rsidRPr="006D36F9">
        <w:rPr>
          <w:rFonts w:ascii="Arial" w:hAnsi="Arial" w:cs="Arial"/>
          <w:i/>
          <w:sz w:val="21"/>
          <w:szCs w:val="21"/>
        </w:rPr>
        <w:t xml:space="preserve">unter </w:t>
      </w:r>
      <w:hyperlink r:id="rId9" w:history="1">
        <w:r w:rsidRPr="0040314E">
          <w:rPr>
            <w:rStyle w:val="Hyperlink"/>
            <w:rFonts w:ascii="Arial" w:hAnsi="Arial" w:cs="Arial"/>
            <w:i/>
            <w:sz w:val="21"/>
            <w:szCs w:val="21"/>
          </w:rPr>
          <w:t>www.media.leoni.com</w:t>
        </w:r>
      </w:hyperlink>
      <w:r w:rsidRPr="006D36F9">
        <w:rPr>
          <w:rFonts w:ascii="Arial" w:hAnsi="Arial" w:cs="Arial"/>
          <w:i/>
          <w:sz w:val="21"/>
          <w:szCs w:val="21"/>
        </w:rPr>
        <w:t xml:space="preserve"> direkt bei dieser Mitteilung</w:t>
      </w:r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DF6351" w:rsidRPr="00F9437E" w:rsidRDefault="005456EE" w:rsidP="00F9437E">
      <w:pPr>
        <w:ind w:right="1852"/>
        <w:rPr>
          <w:rFonts w:ascii="Arial" w:hAnsi="Arial" w:cs="Arial"/>
          <w:i/>
          <w:sz w:val="21"/>
          <w:szCs w:val="21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Pr="00DF6351">
        <w:rPr>
          <w:rFonts w:ascii="Arial" w:hAnsi="Arial" w:cs="Arial"/>
          <w:i/>
          <w:sz w:val="21"/>
          <w:szCs w:val="21"/>
        </w:rPr>
        <w:t xml:space="preserve">Den vollständigen Geschäftsbericht können Sie herunterladen unter </w:t>
      </w:r>
      <w:hyperlink r:id="rId10" w:history="1">
        <w:r w:rsidRPr="00BB265E">
          <w:rPr>
            <w:rStyle w:val="Hyperlink"/>
            <w:rFonts w:ascii="Arial" w:hAnsi="Arial" w:cs="Arial"/>
            <w:i/>
            <w:sz w:val="21"/>
            <w:szCs w:val="21"/>
          </w:rPr>
          <w:t>www.leoni.com/?gb11&amp;L=0</w:t>
        </w:r>
      </w:hyperlink>
      <w:r w:rsidR="00DF6351"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6C6A78">
        <w:t>mehr als</w:t>
      </w:r>
      <w:r w:rsidR="00110484" w:rsidRPr="006D36F9">
        <w:t xml:space="preserve"> </w:t>
      </w:r>
      <w:r w:rsidR="00320044">
        <w:t>6</w:t>
      </w:r>
      <w:r w:rsidR="005456EE">
        <w:t>3</w:t>
      </w:r>
      <w:r w:rsidR="008E7760" w:rsidRPr="006D36F9">
        <w:t>.000 Mitarbeiter in 3</w:t>
      </w:r>
      <w:r w:rsidR="00476B0F">
        <w:t>1</w:t>
      </w:r>
      <w:r w:rsidR="008E7760" w:rsidRPr="006D36F9">
        <w:t xml:space="preserve"> Ländern und erzielte 20</w:t>
      </w:r>
      <w:r w:rsidR="00977A5F" w:rsidRPr="006D36F9">
        <w:t>1</w:t>
      </w:r>
      <w:r w:rsidR="005E0BBB">
        <w:t>1</w:t>
      </w:r>
      <w:r w:rsidR="008E7760" w:rsidRPr="006D36F9">
        <w:t xml:space="preserve"> einen Konzernumsatz von </w:t>
      </w:r>
      <w:r w:rsidR="005E0BBB">
        <w:t>3</w:t>
      </w:r>
      <w:r w:rsidR="008E7760" w:rsidRPr="006D36F9">
        <w:t>,</w:t>
      </w:r>
      <w:r w:rsidR="005E0BBB">
        <w:t>7</w:t>
      </w:r>
      <w:r w:rsidR="008E7760" w:rsidRPr="006D36F9">
        <w:t xml:space="preserve"> Mrd. Euro</w:t>
      </w:r>
      <w:r w:rsidRPr="006D36F9">
        <w:t>.</w:t>
      </w:r>
    </w:p>
    <w:p w:rsidR="00E569A0" w:rsidRPr="00320044" w:rsidRDefault="00E569A0" w:rsidP="00E569A0">
      <w:pPr>
        <w:pStyle w:val="MMKurzprofil"/>
      </w:pPr>
    </w:p>
    <w:p w:rsidR="00E569A0" w:rsidRPr="00320044" w:rsidRDefault="00DC2CC0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0F" w:rsidRPr="00A44C71" w:rsidRDefault="00476B0F">
      <w:pPr>
        <w:rPr>
          <w:sz w:val="16"/>
        </w:rPr>
      </w:pPr>
      <w:r>
        <w:separator/>
      </w:r>
    </w:p>
  </w:endnote>
  <w:endnote w:type="continuationSeparator" w:id="0">
    <w:p w:rsidR="00476B0F" w:rsidRPr="00A44C71" w:rsidRDefault="00476B0F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0F" w:rsidRPr="009A05EE" w:rsidRDefault="00476B0F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868B2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868B2"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76B0F" w:rsidRPr="009F6805" w:rsidRDefault="00476B0F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0F" w:rsidRPr="00406709" w:rsidRDefault="00476B0F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76B0F" w:rsidRPr="00406709" w:rsidRDefault="00476B0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76B0F" w:rsidRPr="00406709" w:rsidRDefault="00476B0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76B0F" w:rsidRPr="00406709" w:rsidRDefault="00476B0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76B0F" w:rsidRPr="00406709" w:rsidRDefault="00476B0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476B0F" w:rsidRDefault="00476B0F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0F" w:rsidRPr="00A44C71" w:rsidRDefault="00476B0F">
      <w:pPr>
        <w:rPr>
          <w:sz w:val="16"/>
        </w:rPr>
      </w:pPr>
      <w:r>
        <w:separator/>
      </w:r>
    </w:p>
  </w:footnote>
  <w:footnote w:type="continuationSeparator" w:id="0">
    <w:p w:rsidR="00476B0F" w:rsidRPr="00A44C71" w:rsidRDefault="00476B0F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0F" w:rsidRPr="00F17738" w:rsidRDefault="00476B0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76B0F" w:rsidRPr="00F17738" w:rsidRDefault="00476B0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76B0F" w:rsidRPr="00F17738" w:rsidRDefault="00476B0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B0F" w:rsidRDefault="00476B0F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476B0F" w:rsidRPr="006D36F9" w:rsidRDefault="00476B0F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476B0F" w:rsidRPr="00F17738" w:rsidRDefault="00476B0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76B0F" w:rsidRPr="00F17738" w:rsidRDefault="00476B0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76B0F" w:rsidRPr="00F17738" w:rsidRDefault="00476B0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76B0F" w:rsidRPr="006F0BE8" w:rsidRDefault="00476B0F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0F" w:rsidRPr="00F17738" w:rsidRDefault="00476B0F" w:rsidP="008F5F48">
    <w:pPr>
      <w:pStyle w:val="Kopfzeile"/>
      <w:ind w:right="12"/>
      <w:rPr>
        <w:rFonts w:ascii="Verdana" w:hAnsi="Verdana"/>
        <w:sz w:val="20"/>
      </w:rPr>
    </w:pPr>
  </w:p>
  <w:p w:rsidR="00476B0F" w:rsidRPr="00F17738" w:rsidRDefault="00476B0F" w:rsidP="008F5F48">
    <w:pPr>
      <w:pStyle w:val="Kopfzeile"/>
      <w:ind w:right="12"/>
      <w:rPr>
        <w:rFonts w:ascii="Verdana" w:hAnsi="Verdana"/>
        <w:sz w:val="20"/>
      </w:rPr>
    </w:pPr>
  </w:p>
  <w:p w:rsidR="00476B0F" w:rsidRPr="00F17738" w:rsidRDefault="00476B0F" w:rsidP="008F5F48">
    <w:pPr>
      <w:pStyle w:val="Kopfzeile"/>
      <w:ind w:right="12"/>
      <w:rPr>
        <w:rFonts w:ascii="Verdana" w:hAnsi="Verdana"/>
        <w:sz w:val="20"/>
      </w:rPr>
    </w:pPr>
  </w:p>
  <w:p w:rsidR="00476B0F" w:rsidRPr="00F17738" w:rsidRDefault="00476B0F" w:rsidP="008F5F48">
    <w:pPr>
      <w:pStyle w:val="Kopfzeile"/>
      <w:ind w:right="12"/>
      <w:rPr>
        <w:rFonts w:ascii="Verdana" w:hAnsi="Verdana"/>
        <w:sz w:val="20"/>
      </w:rPr>
    </w:pPr>
  </w:p>
  <w:p w:rsidR="00476B0F" w:rsidRPr="00F17738" w:rsidRDefault="00476B0F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B0F" w:rsidRPr="00F17738" w:rsidRDefault="00476B0F" w:rsidP="008F5F48">
    <w:pPr>
      <w:pStyle w:val="Kopfzeile"/>
      <w:ind w:right="12"/>
      <w:rPr>
        <w:rFonts w:ascii="Verdana" w:hAnsi="Verdana"/>
        <w:sz w:val="20"/>
      </w:rPr>
    </w:pPr>
  </w:p>
  <w:p w:rsidR="00476B0F" w:rsidRPr="00F17738" w:rsidRDefault="00476B0F" w:rsidP="008F5F48">
    <w:pPr>
      <w:pStyle w:val="Kopfzeile"/>
      <w:ind w:right="12"/>
      <w:rPr>
        <w:rFonts w:ascii="Verdana" w:hAnsi="Verdana"/>
        <w:sz w:val="20"/>
      </w:rPr>
    </w:pPr>
  </w:p>
  <w:p w:rsidR="00476B0F" w:rsidRPr="00F17738" w:rsidRDefault="00476B0F" w:rsidP="008F5F48">
    <w:pPr>
      <w:pStyle w:val="Kopfzeile"/>
      <w:ind w:right="12"/>
      <w:rPr>
        <w:rFonts w:ascii="Verdana" w:hAnsi="Verdana"/>
        <w:sz w:val="20"/>
      </w:rPr>
    </w:pPr>
  </w:p>
  <w:p w:rsidR="00476B0F" w:rsidRPr="00F17738" w:rsidRDefault="00476B0F" w:rsidP="008F5F48">
    <w:pPr>
      <w:pStyle w:val="Kopfzeile"/>
      <w:ind w:right="12"/>
      <w:rPr>
        <w:rFonts w:ascii="Verdana" w:hAnsi="Verdana"/>
        <w:sz w:val="20"/>
      </w:rPr>
    </w:pPr>
  </w:p>
  <w:p w:rsidR="00476B0F" w:rsidRPr="00F17738" w:rsidRDefault="00476B0F" w:rsidP="008F5F48">
    <w:pPr>
      <w:pStyle w:val="Kopfzeile"/>
      <w:ind w:right="12"/>
      <w:rPr>
        <w:rFonts w:ascii="Verdana" w:hAnsi="Verdana"/>
        <w:sz w:val="20"/>
      </w:rPr>
    </w:pPr>
  </w:p>
  <w:p w:rsidR="00476B0F" w:rsidRPr="00F17738" w:rsidRDefault="00476B0F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B2508"/>
    <w:multiLevelType w:val="hybridMultilevel"/>
    <w:tmpl w:val="701EC33A"/>
    <w:lvl w:ilvl="0" w:tplc="4B64A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196930"/>
    <w:multiLevelType w:val="hybridMultilevel"/>
    <w:tmpl w:val="0DE8BE7A"/>
    <w:lvl w:ilvl="0" w:tplc="0A6E7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A0822"/>
    <w:rsid w:val="000A32BC"/>
    <w:rsid w:val="000A7B89"/>
    <w:rsid w:val="000B3BF8"/>
    <w:rsid w:val="000B3D4A"/>
    <w:rsid w:val="000B5865"/>
    <w:rsid w:val="000C02B1"/>
    <w:rsid w:val="000E5816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A4D33"/>
    <w:rsid w:val="002A71D3"/>
    <w:rsid w:val="002B325C"/>
    <w:rsid w:val="002B7AC7"/>
    <w:rsid w:val="002B7BFA"/>
    <w:rsid w:val="002C118D"/>
    <w:rsid w:val="002D3B75"/>
    <w:rsid w:val="003118F1"/>
    <w:rsid w:val="00320044"/>
    <w:rsid w:val="00361CF2"/>
    <w:rsid w:val="00362050"/>
    <w:rsid w:val="00364DCD"/>
    <w:rsid w:val="00365E12"/>
    <w:rsid w:val="00382198"/>
    <w:rsid w:val="00397AC4"/>
    <w:rsid w:val="003C6AAE"/>
    <w:rsid w:val="003D2799"/>
    <w:rsid w:val="003D4F5D"/>
    <w:rsid w:val="003E43B4"/>
    <w:rsid w:val="003E4B96"/>
    <w:rsid w:val="003E50A5"/>
    <w:rsid w:val="003F1AB5"/>
    <w:rsid w:val="003F74D0"/>
    <w:rsid w:val="00404468"/>
    <w:rsid w:val="00432245"/>
    <w:rsid w:val="00441012"/>
    <w:rsid w:val="00441963"/>
    <w:rsid w:val="0045071B"/>
    <w:rsid w:val="004547BF"/>
    <w:rsid w:val="00473340"/>
    <w:rsid w:val="00473E7D"/>
    <w:rsid w:val="00476B0F"/>
    <w:rsid w:val="00482296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14260"/>
    <w:rsid w:val="00526F46"/>
    <w:rsid w:val="005302CE"/>
    <w:rsid w:val="00533F65"/>
    <w:rsid w:val="00543C34"/>
    <w:rsid w:val="005448AB"/>
    <w:rsid w:val="005456EE"/>
    <w:rsid w:val="00547D6D"/>
    <w:rsid w:val="005B227D"/>
    <w:rsid w:val="005B4DC3"/>
    <w:rsid w:val="005C5351"/>
    <w:rsid w:val="005D4C87"/>
    <w:rsid w:val="005D550E"/>
    <w:rsid w:val="005E0BBB"/>
    <w:rsid w:val="00600E53"/>
    <w:rsid w:val="00614A49"/>
    <w:rsid w:val="0061798D"/>
    <w:rsid w:val="006307D7"/>
    <w:rsid w:val="00631FB1"/>
    <w:rsid w:val="006457CF"/>
    <w:rsid w:val="00654989"/>
    <w:rsid w:val="006611CF"/>
    <w:rsid w:val="00661F0B"/>
    <w:rsid w:val="00683EF3"/>
    <w:rsid w:val="00691AA8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C3759"/>
    <w:rsid w:val="007D7D60"/>
    <w:rsid w:val="007F3212"/>
    <w:rsid w:val="008045E1"/>
    <w:rsid w:val="008176B2"/>
    <w:rsid w:val="00821BA4"/>
    <w:rsid w:val="0083522C"/>
    <w:rsid w:val="008446CD"/>
    <w:rsid w:val="00883645"/>
    <w:rsid w:val="008920B0"/>
    <w:rsid w:val="008A424F"/>
    <w:rsid w:val="008B1883"/>
    <w:rsid w:val="008B617B"/>
    <w:rsid w:val="008D26BA"/>
    <w:rsid w:val="008D6717"/>
    <w:rsid w:val="008E7760"/>
    <w:rsid w:val="008F5F48"/>
    <w:rsid w:val="0090422E"/>
    <w:rsid w:val="00906898"/>
    <w:rsid w:val="00936962"/>
    <w:rsid w:val="009613DC"/>
    <w:rsid w:val="00961415"/>
    <w:rsid w:val="00966BBB"/>
    <w:rsid w:val="00967E91"/>
    <w:rsid w:val="009714B0"/>
    <w:rsid w:val="00977A5F"/>
    <w:rsid w:val="00977A87"/>
    <w:rsid w:val="00984F8E"/>
    <w:rsid w:val="00990335"/>
    <w:rsid w:val="009A05EE"/>
    <w:rsid w:val="009A1070"/>
    <w:rsid w:val="009B48FF"/>
    <w:rsid w:val="009B564D"/>
    <w:rsid w:val="009C6B13"/>
    <w:rsid w:val="009E32AD"/>
    <w:rsid w:val="009F6805"/>
    <w:rsid w:val="009F752B"/>
    <w:rsid w:val="00A12538"/>
    <w:rsid w:val="00A23768"/>
    <w:rsid w:val="00A27173"/>
    <w:rsid w:val="00A34AA7"/>
    <w:rsid w:val="00A3721C"/>
    <w:rsid w:val="00A54DDA"/>
    <w:rsid w:val="00A643F8"/>
    <w:rsid w:val="00A66992"/>
    <w:rsid w:val="00A708D7"/>
    <w:rsid w:val="00A76415"/>
    <w:rsid w:val="00AA09F4"/>
    <w:rsid w:val="00AA2A8D"/>
    <w:rsid w:val="00AA4C14"/>
    <w:rsid w:val="00AC17F0"/>
    <w:rsid w:val="00AC2AE0"/>
    <w:rsid w:val="00AC7A23"/>
    <w:rsid w:val="00AD3E26"/>
    <w:rsid w:val="00AE43B7"/>
    <w:rsid w:val="00AF0A61"/>
    <w:rsid w:val="00B1340F"/>
    <w:rsid w:val="00B139E4"/>
    <w:rsid w:val="00B164DD"/>
    <w:rsid w:val="00B270D9"/>
    <w:rsid w:val="00B3540F"/>
    <w:rsid w:val="00B45E40"/>
    <w:rsid w:val="00B466F2"/>
    <w:rsid w:val="00B6668B"/>
    <w:rsid w:val="00B67561"/>
    <w:rsid w:val="00B70B1A"/>
    <w:rsid w:val="00B71C6F"/>
    <w:rsid w:val="00B96DE2"/>
    <w:rsid w:val="00B97F01"/>
    <w:rsid w:val="00BA0052"/>
    <w:rsid w:val="00BB1A73"/>
    <w:rsid w:val="00BC5FE7"/>
    <w:rsid w:val="00BD22AC"/>
    <w:rsid w:val="00BD2643"/>
    <w:rsid w:val="00BD4058"/>
    <w:rsid w:val="00BF4F29"/>
    <w:rsid w:val="00BF5681"/>
    <w:rsid w:val="00BF7DEC"/>
    <w:rsid w:val="00C03D20"/>
    <w:rsid w:val="00C108BC"/>
    <w:rsid w:val="00C11645"/>
    <w:rsid w:val="00C1516A"/>
    <w:rsid w:val="00C16450"/>
    <w:rsid w:val="00C4480F"/>
    <w:rsid w:val="00C4636C"/>
    <w:rsid w:val="00C6770A"/>
    <w:rsid w:val="00C70F49"/>
    <w:rsid w:val="00C7427E"/>
    <w:rsid w:val="00C900A9"/>
    <w:rsid w:val="00C95498"/>
    <w:rsid w:val="00C96EBA"/>
    <w:rsid w:val="00CA481B"/>
    <w:rsid w:val="00CA4B57"/>
    <w:rsid w:val="00D04407"/>
    <w:rsid w:val="00D1225B"/>
    <w:rsid w:val="00D15735"/>
    <w:rsid w:val="00D22ED7"/>
    <w:rsid w:val="00D413F1"/>
    <w:rsid w:val="00D47FA5"/>
    <w:rsid w:val="00D5605B"/>
    <w:rsid w:val="00D6261E"/>
    <w:rsid w:val="00D65513"/>
    <w:rsid w:val="00D700B9"/>
    <w:rsid w:val="00D738A7"/>
    <w:rsid w:val="00D74838"/>
    <w:rsid w:val="00D80DBE"/>
    <w:rsid w:val="00D90D76"/>
    <w:rsid w:val="00DA49A1"/>
    <w:rsid w:val="00DB2E93"/>
    <w:rsid w:val="00DC2CC0"/>
    <w:rsid w:val="00DD5149"/>
    <w:rsid w:val="00DD67C1"/>
    <w:rsid w:val="00DF6351"/>
    <w:rsid w:val="00E01673"/>
    <w:rsid w:val="00E02B7A"/>
    <w:rsid w:val="00E2445B"/>
    <w:rsid w:val="00E33130"/>
    <w:rsid w:val="00E358C1"/>
    <w:rsid w:val="00E436DA"/>
    <w:rsid w:val="00E43922"/>
    <w:rsid w:val="00E45475"/>
    <w:rsid w:val="00E569A0"/>
    <w:rsid w:val="00E76BA0"/>
    <w:rsid w:val="00E868B2"/>
    <w:rsid w:val="00E93051"/>
    <w:rsid w:val="00EB524C"/>
    <w:rsid w:val="00EC0A0C"/>
    <w:rsid w:val="00EC0E74"/>
    <w:rsid w:val="00EC6520"/>
    <w:rsid w:val="00ED1040"/>
    <w:rsid w:val="00ED47BD"/>
    <w:rsid w:val="00EE24A0"/>
    <w:rsid w:val="00EE3329"/>
    <w:rsid w:val="00F21EA0"/>
    <w:rsid w:val="00F37865"/>
    <w:rsid w:val="00F45D66"/>
    <w:rsid w:val="00F67138"/>
    <w:rsid w:val="00F737A1"/>
    <w:rsid w:val="00F73C92"/>
    <w:rsid w:val="00F77BB5"/>
    <w:rsid w:val="00F80249"/>
    <w:rsid w:val="00F90257"/>
    <w:rsid w:val="00F91FB0"/>
    <w:rsid w:val="00F9437E"/>
    <w:rsid w:val="00F955C9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leoni.com/?gb11&amp;L=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edia.leoni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E6E9-0B60-4B37-88ED-6ED59C2C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8048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3</cp:revision>
  <cp:lastPrinted>2011-02-14T13:56:00Z</cp:lastPrinted>
  <dcterms:created xsi:type="dcterms:W3CDTF">2012-03-13T11:38:00Z</dcterms:created>
  <dcterms:modified xsi:type="dcterms:W3CDTF">2012-03-13T13:12:00Z</dcterms:modified>
</cp:coreProperties>
</file>