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F8" w:rsidRPr="00905811" w:rsidRDefault="007F08F8" w:rsidP="007F08F8">
      <w:pPr>
        <w:pStyle w:val="MMU1"/>
        <w:rPr>
          <w:bCs w:val="0"/>
          <w:szCs w:val="24"/>
          <w:lang w:val="en-US"/>
        </w:rPr>
      </w:pPr>
      <w:proofErr w:type="spellStart"/>
      <w:r>
        <w:rPr>
          <w:bCs w:val="0"/>
          <w:szCs w:val="24"/>
          <w:lang w:val="en-GB"/>
        </w:rPr>
        <w:t>Leoni</w:t>
      </w:r>
      <w:proofErr w:type="spellEnd"/>
      <w:r>
        <w:rPr>
          <w:bCs w:val="0"/>
          <w:szCs w:val="24"/>
          <w:lang w:val="en-GB"/>
        </w:rPr>
        <w:t xml:space="preserve"> makes a good start to the year</w:t>
      </w:r>
      <w:r w:rsidRPr="00905811">
        <w:rPr>
          <w:bCs w:val="0"/>
          <w:szCs w:val="24"/>
          <w:lang w:val="en-US"/>
        </w:rPr>
        <w:t xml:space="preserve">  </w:t>
      </w:r>
    </w:p>
    <w:p w:rsidR="007F08F8" w:rsidRPr="00905811" w:rsidRDefault="007F08F8" w:rsidP="007F08F8">
      <w:pPr>
        <w:pStyle w:val="MMU2"/>
        <w:rPr>
          <w:rFonts w:cs="Times New Roman"/>
          <w:lang w:val="en-US"/>
        </w:rPr>
      </w:pPr>
      <w:r>
        <w:rPr>
          <w:rFonts w:cs="Times New Roman"/>
        </w:rPr>
        <w:t>Further increase in sales and earnings in the first quarter of 2012</w:t>
      </w:r>
    </w:p>
    <w:p w:rsidR="007F08F8" w:rsidRPr="00905811" w:rsidRDefault="007F08F8" w:rsidP="007F08F8">
      <w:pPr>
        <w:pStyle w:val="MMVorspann"/>
        <w:rPr>
          <w:lang w:val="en-US"/>
        </w:rPr>
      </w:pPr>
      <w:r>
        <w:rPr>
          <w:lang w:val="en-GB"/>
        </w:rPr>
        <w:t xml:space="preserve">Nuremberg, 15 May 2012 – </w:t>
      </w:r>
      <w:proofErr w:type="spellStart"/>
      <w:r>
        <w:rPr>
          <w:lang w:val="en-GB"/>
        </w:rPr>
        <w:t>Leoni</w:t>
      </w:r>
      <w:proofErr w:type="spellEnd"/>
      <w:r>
        <w:rPr>
          <w:lang w:val="en-GB"/>
        </w:rPr>
        <w:t>, the leading provider of cables and cable systems to the automotive sector and other industries, has made a successful start into 2012:</w:t>
      </w:r>
      <w:r w:rsidRPr="00905811">
        <w:rPr>
          <w:lang w:val="en-US"/>
        </w:rPr>
        <w:t xml:space="preserve"> </w:t>
      </w:r>
      <w:r>
        <w:rPr>
          <w:lang w:val="en-GB"/>
        </w:rPr>
        <w:t xml:space="preserve">the Company increased its consolidated sales by about 6 </w:t>
      </w:r>
      <w:proofErr w:type="spellStart"/>
      <w:r>
        <w:rPr>
          <w:lang w:val="en-GB"/>
        </w:rPr>
        <w:t>percent</w:t>
      </w:r>
      <w:proofErr w:type="spellEnd"/>
      <w:r>
        <w:rPr>
          <w:lang w:val="en-GB"/>
        </w:rPr>
        <w:t xml:space="preserve"> year on year in the first three months, to the new quarterly high of EUR 969.1 million (previous year: EUR 910.7 million).</w:t>
      </w:r>
      <w:r w:rsidRPr="00905811">
        <w:rPr>
          <w:lang w:val="en-US"/>
        </w:rPr>
        <w:t xml:space="preserve"> </w:t>
      </w:r>
      <w:r>
        <w:rPr>
          <w:lang w:val="en-GB"/>
        </w:rPr>
        <w:t>The automotive and capital goods industries as well as, from a regional perspective, the BRIC countries were again key growth drivers.</w:t>
      </w:r>
      <w:r w:rsidRPr="00905811">
        <w:rPr>
          <w:lang w:val="en-US"/>
        </w:rPr>
        <w:t xml:space="preserve"> </w:t>
      </w:r>
      <w:r>
        <w:rPr>
          <w:lang w:val="en-GB"/>
        </w:rPr>
        <w:t xml:space="preserve">Consolidation for the first time of the South Korean wiring systems manufacturer </w:t>
      </w:r>
      <w:proofErr w:type="spellStart"/>
      <w:r>
        <w:rPr>
          <w:lang w:val="en-GB"/>
        </w:rPr>
        <w:t>Daekyeung</w:t>
      </w:r>
      <w:proofErr w:type="spellEnd"/>
      <w:r>
        <w:rPr>
          <w:lang w:val="en-GB"/>
        </w:rPr>
        <w:t>, taken over in full at the beginning of January 2012, added EUR 27.4 million to the total amount of business.</w:t>
      </w:r>
      <w:r w:rsidRPr="00905811">
        <w:rPr>
          <w:lang w:val="en-US"/>
        </w:rPr>
        <w:t xml:space="preserve"> </w:t>
      </w:r>
      <w:r>
        <w:rPr>
          <w:lang w:val="en-GB"/>
        </w:rPr>
        <w:t xml:space="preserve">Group-wide, </w:t>
      </w:r>
      <w:proofErr w:type="spellStart"/>
      <w:r>
        <w:rPr>
          <w:lang w:val="en-GB"/>
        </w:rPr>
        <w:t>Leoni</w:t>
      </w:r>
      <w:proofErr w:type="spellEnd"/>
      <w:r>
        <w:rPr>
          <w:lang w:val="en-GB"/>
        </w:rPr>
        <w:t xml:space="preserve"> raised its earnings before interest and taxes (EBIT) by nearly 53 </w:t>
      </w:r>
      <w:proofErr w:type="spellStart"/>
      <w:r>
        <w:rPr>
          <w:lang w:val="en-GB"/>
        </w:rPr>
        <w:t>percent</w:t>
      </w:r>
      <w:proofErr w:type="spellEnd"/>
      <w:r>
        <w:rPr>
          <w:lang w:val="en-GB"/>
        </w:rPr>
        <w:t xml:space="preserve"> to EUR 93.7 million (previous year: EUR 61.4 million).</w:t>
      </w:r>
      <w:r w:rsidRPr="00905811">
        <w:rPr>
          <w:lang w:val="en-US"/>
        </w:rPr>
        <w:t xml:space="preserve"> </w:t>
      </w:r>
      <w:r>
        <w:rPr>
          <w:lang w:val="en-GB"/>
        </w:rPr>
        <w:t xml:space="preserve">This figure includes a non-recurring addition of EUR 29.5 million from the sale of subsidiary </w:t>
      </w:r>
      <w:proofErr w:type="spellStart"/>
      <w:r>
        <w:rPr>
          <w:lang w:val="en-GB"/>
        </w:rPr>
        <w:t>Leoni</w:t>
      </w:r>
      <w:proofErr w:type="spellEnd"/>
      <w:r>
        <w:rPr>
          <w:lang w:val="en-GB"/>
        </w:rPr>
        <w:t xml:space="preserve"> </w:t>
      </w:r>
      <w:proofErr w:type="spellStart"/>
      <w:r>
        <w:rPr>
          <w:lang w:val="en-GB"/>
        </w:rPr>
        <w:t>Studer</w:t>
      </w:r>
      <w:proofErr w:type="spellEnd"/>
      <w:r>
        <w:rPr>
          <w:lang w:val="en-GB"/>
        </w:rPr>
        <w:t xml:space="preserve"> Hard AG.</w:t>
      </w:r>
      <w:r w:rsidRPr="00905811">
        <w:rPr>
          <w:lang w:val="en-US"/>
        </w:rPr>
        <w:t xml:space="preserve"> </w:t>
      </w:r>
      <w:proofErr w:type="gramStart"/>
      <w:r>
        <w:rPr>
          <w:lang w:val="en-GB"/>
        </w:rPr>
        <w:t xml:space="preserve">Adjusted for this item, EBIT improved by about 5 </w:t>
      </w:r>
      <w:proofErr w:type="spellStart"/>
      <w:r>
        <w:rPr>
          <w:lang w:val="en-GB"/>
        </w:rPr>
        <w:t>percent</w:t>
      </w:r>
      <w:proofErr w:type="spellEnd"/>
      <w:r>
        <w:rPr>
          <w:lang w:val="en-GB"/>
        </w:rPr>
        <w:t>.</w:t>
      </w:r>
      <w:proofErr w:type="gramEnd"/>
      <w:r w:rsidRPr="00905811">
        <w:rPr>
          <w:lang w:val="en-US"/>
        </w:rPr>
        <w:t xml:space="preserve"> </w:t>
      </w:r>
      <w:r>
        <w:rPr>
          <w:lang w:val="en-GB"/>
        </w:rPr>
        <w:t>Consolidated net income rose from EUR 36.6 million to EUR 64.6 million.</w:t>
      </w:r>
      <w:r w:rsidRPr="00905811">
        <w:rPr>
          <w:lang w:val="en-US"/>
        </w:rPr>
        <w:t xml:space="preserve">   </w:t>
      </w:r>
    </w:p>
    <w:p w:rsidR="007F08F8" w:rsidRPr="00905811" w:rsidRDefault="007F08F8" w:rsidP="007F08F8">
      <w:pPr>
        <w:pStyle w:val="MMFlietext"/>
        <w:rPr>
          <w:lang w:val="en-US"/>
        </w:rPr>
      </w:pPr>
      <w:r>
        <w:rPr>
          <w:lang w:val="en-GB"/>
        </w:rPr>
        <w:t>This good performance in the first quarter underpins the forecast for the year as a whole:</w:t>
      </w:r>
      <w:r w:rsidRPr="00905811">
        <w:rPr>
          <w:lang w:val="en-US"/>
        </w:rPr>
        <w:t xml:space="preserve"> </w:t>
      </w:r>
      <w:proofErr w:type="spellStart"/>
      <w:r>
        <w:rPr>
          <w:lang w:val="en-GB"/>
        </w:rPr>
        <w:t>Leoni</w:t>
      </w:r>
      <w:proofErr w:type="spellEnd"/>
      <w:r>
        <w:rPr>
          <w:lang w:val="en-GB"/>
        </w:rPr>
        <w:t xml:space="preserve"> still expects to increase its consolidated sales to between EUR 3.8 and 4 billion in 2012 (2011: EUR 3.7 billion) and to generate EBIT of EUR 230 to 280 million (2011: EUR 237.1 million).</w:t>
      </w:r>
      <w:r w:rsidRPr="00905811">
        <w:rPr>
          <w:lang w:val="en-US"/>
        </w:rPr>
        <w:t xml:space="preserve"> </w:t>
      </w:r>
      <w:r>
        <w:rPr>
          <w:lang w:val="en-GB"/>
        </w:rPr>
        <w:t xml:space="preserve">In addition there is the exceptional factor involving the sale of </w:t>
      </w:r>
      <w:proofErr w:type="spellStart"/>
      <w:r>
        <w:rPr>
          <w:lang w:val="en-GB"/>
        </w:rPr>
        <w:t>Leoni</w:t>
      </w:r>
      <w:proofErr w:type="spellEnd"/>
      <w:r>
        <w:rPr>
          <w:lang w:val="en-GB"/>
        </w:rPr>
        <w:t xml:space="preserve"> </w:t>
      </w:r>
      <w:proofErr w:type="spellStart"/>
      <w:r>
        <w:rPr>
          <w:lang w:val="en-GB"/>
        </w:rPr>
        <w:t>Studer</w:t>
      </w:r>
      <w:proofErr w:type="spellEnd"/>
      <w:r>
        <w:rPr>
          <w:lang w:val="en-GB"/>
        </w:rPr>
        <w:t xml:space="preserve"> Hard AG.</w:t>
      </w:r>
      <w:r w:rsidRPr="00905811">
        <w:rPr>
          <w:lang w:val="en-US"/>
        </w:rPr>
        <w:t xml:space="preserve">  </w:t>
      </w:r>
    </w:p>
    <w:p w:rsidR="007F08F8" w:rsidRPr="00905811" w:rsidRDefault="007F08F8" w:rsidP="007F08F8">
      <w:pPr>
        <w:pStyle w:val="MMZwischenberschrift"/>
        <w:rPr>
          <w:rFonts w:cs="Times New Roman"/>
          <w:szCs w:val="24"/>
          <w:lang w:val="en-US"/>
        </w:rPr>
      </w:pPr>
      <w:r>
        <w:rPr>
          <w:rFonts w:cs="Times New Roman"/>
          <w:szCs w:val="24"/>
          <w:lang w:val="en-GB"/>
        </w:rPr>
        <w:t>WSD:</w:t>
      </w:r>
      <w:r w:rsidRPr="00905811">
        <w:rPr>
          <w:rFonts w:cs="Times New Roman"/>
          <w:szCs w:val="24"/>
          <w:lang w:val="en-US"/>
        </w:rPr>
        <w:t xml:space="preserve"> </w:t>
      </w:r>
      <w:r>
        <w:rPr>
          <w:rFonts w:cs="Times New Roman"/>
          <w:szCs w:val="24"/>
          <w:lang w:val="en-GB"/>
        </w:rPr>
        <w:t>Sustained heavy demand in the wiring systems business</w:t>
      </w:r>
      <w:r w:rsidRPr="00905811">
        <w:rPr>
          <w:rFonts w:cs="Times New Roman"/>
          <w:szCs w:val="24"/>
          <w:lang w:val="en-US"/>
        </w:rPr>
        <w:t xml:space="preserve"> </w:t>
      </w:r>
    </w:p>
    <w:p w:rsidR="007F08F8" w:rsidRPr="00905811" w:rsidRDefault="007F08F8" w:rsidP="007F08F8">
      <w:pPr>
        <w:pStyle w:val="MMFlietext"/>
        <w:rPr>
          <w:rFonts w:cs="Times New Roman"/>
          <w:szCs w:val="24"/>
          <w:lang w:val="en-US"/>
        </w:rPr>
      </w:pPr>
      <w:r>
        <w:rPr>
          <w:rFonts w:cs="Times New Roman"/>
          <w:szCs w:val="24"/>
          <w:lang w:val="en-GB"/>
        </w:rPr>
        <w:t>The strong demand in the Wiring Systems Division (WSD) for its systems continued in the first quarter of 2012. Business with the international carmakers in China and with the commercial vehicle industry performed especially well.</w:t>
      </w:r>
      <w:r w:rsidRPr="00905811">
        <w:rPr>
          <w:rFonts w:cs="Times New Roman"/>
          <w:szCs w:val="24"/>
          <w:lang w:val="en-US"/>
        </w:rPr>
        <w:t xml:space="preserve"> </w:t>
      </w:r>
      <w:r>
        <w:rPr>
          <w:rFonts w:cs="Times New Roman"/>
          <w:szCs w:val="24"/>
          <w:lang w:val="en-GB"/>
        </w:rPr>
        <w:t xml:space="preserve">The division’s external sales increased by nearly 14 </w:t>
      </w:r>
      <w:proofErr w:type="spellStart"/>
      <w:r>
        <w:rPr>
          <w:rFonts w:cs="Times New Roman"/>
          <w:szCs w:val="24"/>
          <w:lang w:val="en-GB"/>
        </w:rPr>
        <w:t>percent</w:t>
      </w:r>
      <w:proofErr w:type="spellEnd"/>
      <w:r>
        <w:rPr>
          <w:rFonts w:cs="Times New Roman"/>
          <w:szCs w:val="24"/>
          <w:lang w:val="en-GB"/>
        </w:rPr>
        <w:t xml:space="preserve"> during the period under report, to a new record figure of EUR 570.0 million (previous year: EUR 500.2 million).</w:t>
      </w:r>
      <w:r w:rsidRPr="00905811">
        <w:rPr>
          <w:rFonts w:cs="Times New Roman"/>
          <w:szCs w:val="24"/>
          <w:lang w:val="en-US"/>
        </w:rPr>
        <w:t xml:space="preserve"> </w:t>
      </w:r>
      <w:r>
        <w:rPr>
          <w:rFonts w:cs="Times New Roman"/>
          <w:szCs w:val="24"/>
          <w:lang w:val="en-GB"/>
        </w:rPr>
        <w:t xml:space="preserve">Various new and follow-on contracts, especially for facilities in </w:t>
      </w:r>
      <w:r>
        <w:rPr>
          <w:rFonts w:cs="Times New Roman"/>
          <w:szCs w:val="24"/>
          <w:lang w:val="en-GB"/>
        </w:rPr>
        <w:lastRenderedPageBreak/>
        <w:t xml:space="preserve">the BRIC countries, </w:t>
      </w:r>
      <w:r w:rsidR="00B3611C">
        <w:rPr>
          <w:rFonts w:cs="Times New Roman"/>
          <w:szCs w:val="24"/>
          <w:lang w:val="en-GB"/>
        </w:rPr>
        <w:t xml:space="preserve">will contribute to </w:t>
      </w:r>
      <w:r>
        <w:rPr>
          <w:rFonts w:cs="Times New Roman"/>
          <w:szCs w:val="24"/>
          <w:lang w:val="en-GB"/>
        </w:rPr>
        <w:t>a high degree of capacity utilisation for the future as well.</w:t>
      </w:r>
      <w:r w:rsidRPr="00905811">
        <w:rPr>
          <w:rFonts w:cs="Times New Roman"/>
          <w:szCs w:val="24"/>
          <w:lang w:val="en-US"/>
        </w:rPr>
        <w:t xml:space="preserve"> </w:t>
      </w:r>
      <w:proofErr w:type="spellStart"/>
      <w:r>
        <w:rPr>
          <w:rFonts w:cs="Times New Roman"/>
          <w:szCs w:val="24"/>
          <w:lang w:val="en-GB"/>
        </w:rPr>
        <w:t>Leoni</w:t>
      </w:r>
      <w:proofErr w:type="spellEnd"/>
      <w:r>
        <w:rPr>
          <w:rFonts w:cs="Times New Roman"/>
          <w:szCs w:val="24"/>
          <w:lang w:val="en-GB"/>
        </w:rPr>
        <w:t xml:space="preserve"> also bolstered its position in the future market of electromobility with important new projects for the VW Group.</w:t>
      </w:r>
      <w:r w:rsidRPr="00905811">
        <w:rPr>
          <w:rFonts w:cs="Times New Roman"/>
          <w:szCs w:val="24"/>
          <w:lang w:val="en-US"/>
        </w:rPr>
        <w:t xml:space="preserve"> </w:t>
      </w:r>
      <w:r>
        <w:rPr>
          <w:rFonts w:cs="Times New Roman"/>
          <w:szCs w:val="24"/>
          <w:lang w:val="en-GB"/>
        </w:rPr>
        <w:t>Among other things, these involve the supply of a multi-platform, high-voltage wiring system for various sports car models.</w:t>
      </w:r>
      <w:r w:rsidRPr="00905811">
        <w:rPr>
          <w:rFonts w:cs="Times New Roman"/>
          <w:szCs w:val="24"/>
          <w:lang w:val="en-US"/>
        </w:rPr>
        <w:t xml:space="preserve"> </w:t>
      </w:r>
    </w:p>
    <w:p w:rsidR="007F08F8" w:rsidRPr="00905811" w:rsidRDefault="007F08F8" w:rsidP="007F08F8">
      <w:pPr>
        <w:pStyle w:val="MMZwischenberschrift"/>
        <w:rPr>
          <w:rFonts w:cs="Times New Roman"/>
          <w:szCs w:val="24"/>
          <w:lang w:val="en-US"/>
        </w:rPr>
      </w:pPr>
      <w:r>
        <w:rPr>
          <w:rFonts w:cs="Times New Roman"/>
          <w:szCs w:val="24"/>
          <w:lang w:val="en-GB"/>
        </w:rPr>
        <w:t>WCS:</w:t>
      </w:r>
      <w:r w:rsidRPr="00905811">
        <w:rPr>
          <w:rFonts w:cs="Times New Roman"/>
          <w:szCs w:val="24"/>
          <w:lang w:val="en-US"/>
        </w:rPr>
        <w:t xml:space="preserve"> </w:t>
      </w:r>
      <w:r>
        <w:rPr>
          <w:rFonts w:cs="Times New Roman"/>
          <w:szCs w:val="24"/>
          <w:lang w:val="en-GB"/>
        </w:rPr>
        <w:t>Sales squeezed by lower copper price</w:t>
      </w:r>
      <w:r w:rsidRPr="00905811">
        <w:rPr>
          <w:rFonts w:cs="Times New Roman"/>
          <w:szCs w:val="24"/>
          <w:lang w:val="en-US"/>
        </w:rPr>
        <w:t xml:space="preserve"> </w:t>
      </w:r>
    </w:p>
    <w:p w:rsidR="007F08F8" w:rsidRPr="00905811" w:rsidRDefault="007F08F8" w:rsidP="007F08F8">
      <w:pPr>
        <w:pStyle w:val="MMFlietext"/>
        <w:rPr>
          <w:rFonts w:cs="Times New Roman"/>
          <w:szCs w:val="24"/>
          <w:lang w:val="en-US"/>
        </w:rPr>
      </w:pPr>
      <w:r>
        <w:rPr>
          <w:rFonts w:cs="Times New Roman"/>
          <w:szCs w:val="24"/>
          <w:lang w:val="en-GB"/>
        </w:rPr>
        <w:t xml:space="preserve">The Wire &amp; Cable Solutions Division (WCS) generated external sales of EUR 399.1 million in the first three months of 2012, about 3 </w:t>
      </w:r>
      <w:proofErr w:type="spellStart"/>
      <w:r>
        <w:rPr>
          <w:rFonts w:cs="Times New Roman"/>
          <w:szCs w:val="24"/>
          <w:lang w:val="en-GB"/>
        </w:rPr>
        <w:t>percent</w:t>
      </w:r>
      <w:proofErr w:type="spellEnd"/>
      <w:r>
        <w:rPr>
          <w:rFonts w:cs="Times New Roman"/>
          <w:szCs w:val="24"/>
          <w:lang w:val="en-GB"/>
        </w:rPr>
        <w:t xml:space="preserve"> less than in the same period of the previous year (Q1/2011: EUR 410.5 million).</w:t>
      </w:r>
      <w:r w:rsidRPr="00905811">
        <w:rPr>
          <w:rFonts w:cs="Times New Roman"/>
          <w:szCs w:val="24"/>
          <w:lang w:val="en-US"/>
        </w:rPr>
        <w:t xml:space="preserve"> </w:t>
      </w:r>
      <w:r>
        <w:rPr>
          <w:rFonts w:cs="Times New Roman"/>
          <w:szCs w:val="24"/>
          <w:lang w:val="en-GB"/>
        </w:rPr>
        <w:t>This decrease was due exclusively to the significantly lower price of copper than in the first quarter of 2011.</w:t>
      </w:r>
      <w:r w:rsidRPr="00905811">
        <w:rPr>
          <w:rFonts w:cs="Times New Roman"/>
          <w:szCs w:val="24"/>
          <w:lang w:val="en-US"/>
        </w:rPr>
        <w:t xml:space="preserve"> </w:t>
      </w:r>
      <w:r>
        <w:rPr>
          <w:rFonts w:cs="Times New Roman"/>
          <w:szCs w:val="24"/>
          <w:lang w:val="en-GB"/>
        </w:rPr>
        <w:t xml:space="preserve">Adjusted for this effect, external sales were about 1 </w:t>
      </w:r>
      <w:proofErr w:type="spellStart"/>
      <w:r>
        <w:rPr>
          <w:rFonts w:cs="Times New Roman"/>
          <w:szCs w:val="24"/>
          <w:lang w:val="en-GB"/>
        </w:rPr>
        <w:t>percent</w:t>
      </w:r>
      <w:proofErr w:type="spellEnd"/>
      <w:r>
        <w:rPr>
          <w:rFonts w:cs="Times New Roman"/>
          <w:szCs w:val="24"/>
          <w:lang w:val="en-GB"/>
        </w:rPr>
        <w:t xml:space="preserve"> up on the previous year.</w:t>
      </w:r>
      <w:r w:rsidRPr="00905811">
        <w:rPr>
          <w:rFonts w:cs="Times New Roman"/>
          <w:szCs w:val="24"/>
          <w:lang w:val="en-US"/>
        </w:rPr>
        <w:t xml:space="preserve"> </w:t>
      </w:r>
      <w:r>
        <w:rPr>
          <w:rFonts w:cs="Times New Roman"/>
          <w:szCs w:val="24"/>
          <w:lang w:val="en-GB"/>
        </w:rPr>
        <w:t>Demand for wires, cables and cable systems from the automotive, capital goods as well as medical technology industries remained at an unabatedly high level.</w:t>
      </w:r>
      <w:r w:rsidRPr="00905811">
        <w:rPr>
          <w:rFonts w:cs="Times New Roman"/>
          <w:szCs w:val="24"/>
          <w:lang w:val="en-US"/>
        </w:rPr>
        <w:t xml:space="preserve"> </w:t>
      </w:r>
      <w:r>
        <w:rPr>
          <w:rFonts w:cs="Times New Roman"/>
          <w:szCs w:val="24"/>
          <w:lang w:val="en-GB"/>
        </w:rPr>
        <w:t>Business involving cables for photovoltaic plant was weaker, on the other hand, because of the current downtrend in the German market.</w:t>
      </w:r>
      <w:r w:rsidRPr="00905811">
        <w:rPr>
          <w:rFonts w:cs="Times New Roman"/>
          <w:szCs w:val="24"/>
          <w:lang w:val="en-US"/>
        </w:rPr>
        <w:t xml:space="preserve"> </w:t>
      </w:r>
      <w:r>
        <w:rPr>
          <w:rFonts w:cs="Times New Roman"/>
          <w:szCs w:val="24"/>
          <w:lang w:val="en-GB"/>
        </w:rPr>
        <w:t xml:space="preserve">By contrast, </w:t>
      </w:r>
      <w:proofErr w:type="spellStart"/>
      <w:r>
        <w:rPr>
          <w:rFonts w:cs="Times New Roman"/>
          <w:szCs w:val="24"/>
          <w:lang w:val="en-GB"/>
        </w:rPr>
        <w:t>Leoni</w:t>
      </w:r>
      <w:proofErr w:type="spellEnd"/>
      <w:r>
        <w:rPr>
          <w:rFonts w:cs="Times New Roman"/>
          <w:szCs w:val="24"/>
          <w:lang w:val="en-GB"/>
        </w:rPr>
        <w:t xml:space="preserve"> is expanding its solar business in </w:t>
      </w:r>
      <w:smartTag w:uri="urn:schemas-microsoft-com:office:smarttags" w:element="country-region">
        <w:smartTag w:uri="urn:schemas-microsoft-com:office:smarttags" w:element="place">
          <w:r>
            <w:rPr>
              <w:rFonts w:cs="Times New Roman"/>
              <w:szCs w:val="24"/>
              <w:lang w:val="en-GB"/>
            </w:rPr>
            <w:t>China</w:t>
          </w:r>
        </w:smartTag>
      </w:smartTag>
      <w:r>
        <w:rPr>
          <w:rFonts w:cs="Times New Roman"/>
          <w:szCs w:val="24"/>
          <w:lang w:val="en-GB"/>
        </w:rPr>
        <w:t>.</w:t>
      </w:r>
    </w:p>
    <w:p w:rsidR="007F08F8" w:rsidRPr="00905811" w:rsidRDefault="007F08F8" w:rsidP="007F08F8">
      <w:pPr>
        <w:pStyle w:val="MMZwischenberschrift"/>
        <w:rPr>
          <w:rFonts w:cs="Times New Roman"/>
          <w:szCs w:val="24"/>
          <w:lang w:val="en-US"/>
        </w:rPr>
      </w:pPr>
      <w:r>
        <w:rPr>
          <w:rFonts w:cs="Times New Roman"/>
          <w:szCs w:val="24"/>
          <w:lang w:val="en-GB"/>
        </w:rPr>
        <w:t>Investment in the emerging countries increased</w:t>
      </w:r>
    </w:p>
    <w:p w:rsidR="007F08F8" w:rsidRPr="00905811" w:rsidRDefault="007F08F8" w:rsidP="007F08F8">
      <w:pPr>
        <w:pStyle w:val="MMFlietext"/>
        <w:rPr>
          <w:rFonts w:cs="Times New Roman"/>
          <w:szCs w:val="24"/>
          <w:lang w:val="en-US"/>
        </w:rPr>
      </w:pPr>
      <w:r>
        <w:rPr>
          <w:rFonts w:cs="Times New Roman"/>
          <w:szCs w:val="24"/>
          <w:lang w:val="en-GB"/>
        </w:rPr>
        <w:t xml:space="preserve">Based on the major demand from the BRIC countries and to further internationalise its business, the </w:t>
      </w:r>
      <w:proofErr w:type="spellStart"/>
      <w:r>
        <w:rPr>
          <w:rFonts w:cs="Times New Roman"/>
          <w:szCs w:val="24"/>
          <w:lang w:val="en-GB"/>
        </w:rPr>
        <w:t>Leoni</w:t>
      </w:r>
      <w:proofErr w:type="spellEnd"/>
      <w:r>
        <w:rPr>
          <w:rFonts w:cs="Times New Roman"/>
          <w:szCs w:val="24"/>
          <w:lang w:val="en-GB"/>
        </w:rPr>
        <w:t xml:space="preserve"> Group more than doubled its capital expenditure in the first quarter of 2012 to EUR 55.1 million (previous year: EUR 21.9 million).</w:t>
      </w:r>
      <w:r w:rsidRPr="00905811">
        <w:rPr>
          <w:rFonts w:cs="Times New Roman"/>
          <w:szCs w:val="24"/>
          <w:lang w:val="en-US"/>
        </w:rPr>
        <w:t xml:space="preserve"> </w:t>
      </w:r>
      <w:r>
        <w:rPr>
          <w:rFonts w:cs="Times New Roman"/>
          <w:szCs w:val="24"/>
          <w:lang w:val="en-GB"/>
        </w:rPr>
        <w:t xml:space="preserve">Acquisitions and investments accounted for EUR 25.3 million (previous year: EUR 2.3 millions), most of which was spent on purchasing the other half of the South Korean joint venture </w:t>
      </w:r>
      <w:proofErr w:type="spellStart"/>
      <w:r>
        <w:rPr>
          <w:rFonts w:cs="Times New Roman"/>
          <w:szCs w:val="24"/>
          <w:lang w:val="en-GB"/>
        </w:rPr>
        <w:t>Daekyeung</w:t>
      </w:r>
      <w:proofErr w:type="spellEnd"/>
      <w:r>
        <w:rPr>
          <w:rFonts w:cs="Times New Roman"/>
          <w:szCs w:val="24"/>
          <w:lang w:val="en-GB"/>
        </w:rPr>
        <w:t>.</w:t>
      </w:r>
      <w:r w:rsidRPr="00905811">
        <w:rPr>
          <w:rFonts w:cs="Times New Roman"/>
          <w:szCs w:val="24"/>
          <w:lang w:val="en-US"/>
        </w:rPr>
        <w:t xml:space="preserve"> </w:t>
      </w:r>
      <w:r>
        <w:rPr>
          <w:rFonts w:cs="Times New Roman"/>
          <w:szCs w:val="24"/>
          <w:lang w:val="en-GB"/>
        </w:rPr>
        <w:t xml:space="preserve">Spending on property, plant and equipment as well as intangible assets rose by more than 51 </w:t>
      </w:r>
      <w:proofErr w:type="spellStart"/>
      <w:r>
        <w:rPr>
          <w:rFonts w:cs="Times New Roman"/>
          <w:szCs w:val="24"/>
          <w:lang w:val="en-GB"/>
        </w:rPr>
        <w:t>percent</w:t>
      </w:r>
      <w:proofErr w:type="spellEnd"/>
      <w:r>
        <w:rPr>
          <w:rFonts w:cs="Times New Roman"/>
          <w:szCs w:val="24"/>
          <w:lang w:val="en-GB"/>
        </w:rPr>
        <w:t xml:space="preserve"> to EUR 29.7 million (previous year: EUR 19.6 million).</w:t>
      </w:r>
      <w:r w:rsidRPr="00905811">
        <w:rPr>
          <w:rFonts w:cs="Times New Roman"/>
          <w:szCs w:val="24"/>
          <w:lang w:val="en-US"/>
        </w:rPr>
        <w:t xml:space="preserve"> </w:t>
      </w:r>
      <w:r>
        <w:rPr>
          <w:rFonts w:cs="Times New Roman"/>
          <w:szCs w:val="24"/>
          <w:lang w:val="en-GB"/>
        </w:rPr>
        <w:t xml:space="preserve">Among other projects, the Company set up or expanded wiring systems facilities in </w:t>
      </w:r>
      <w:smartTag w:uri="urn:schemas-microsoft-com:office:smarttags" w:element="country-region">
        <w:r>
          <w:rPr>
            <w:rFonts w:cs="Times New Roman"/>
            <w:szCs w:val="24"/>
            <w:lang w:val="en-GB"/>
          </w:rPr>
          <w:t>Brazil</w:t>
        </w:r>
      </w:smartTag>
      <w:r>
        <w:rPr>
          <w:rFonts w:cs="Times New Roman"/>
          <w:szCs w:val="24"/>
          <w:lang w:val="en-GB"/>
        </w:rPr>
        <w:t xml:space="preserve">, </w:t>
      </w:r>
      <w:smartTag w:uri="urn:schemas-microsoft-com:office:smarttags" w:element="country-region">
        <w:r>
          <w:rPr>
            <w:rFonts w:cs="Times New Roman"/>
            <w:szCs w:val="24"/>
            <w:lang w:val="en-GB"/>
          </w:rPr>
          <w:t>Russia</w:t>
        </w:r>
      </w:smartTag>
      <w:r>
        <w:rPr>
          <w:rFonts w:cs="Times New Roman"/>
          <w:szCs w:val="24"/>
          <w:lang w:val="en-GB"/>
        </w:rPr>
        <w:t xml:space="preserve">, Eastern Europe and </w:t>
      </w:r>
      <w:smartTag w:uri="urn:schemas-microsoft-com:office:smarttags" w:element="place">
        <w:r>
          <w:rPr>
            <w:rFonts w:cs="Times New Roman"/>
            <w:szCs w:val="24"/>
            <w:lang w:val="en-GB"/>
          </w:rPr>
          <w:t>North Africa</w:t>
        </w:r>
      </w:smartTag>
      <w:r>
        <w:rPr>
          <w:rFonts w:cs="Times New Roman"/>
          <w:szCs w:val="24"/>
          <w:lang w:val="en-GB"/>
        </w:rPr>
        <w:t>.</w:t>
      </w:r>
      <w:r w:rsidRPr="00905811">
        <w:rPr>
          <w:rFonts w:cs="Times New Roman"/>
          <w:szCs w:val="24"/>
          <w:lang w:val="en-US"/>
        </w:rPr>
        <w:t xml:space="preserve"> </w:t>
      </w:r>
      <w:r>
        <w:rPr>
          <w:rFonts w:cs="Times New Roman"/>
          <w:szCs w:val="24"/>
          <w:lang w:val="en-GB"/>
        </w:rPr>
        <w:t xml:space="preserve">Furthermore, </w:t>
      </w:r>
      <w:proofErr w:type="spellStart"/>
      <w:r>
        <w:rPr>
          <w:rFonts w:cs="Times New Roman"/>
          <w:szCs w:val="24"/>
          <w:lang w:val="en-GB"/>
        </w:rPr>
        <w:t>Leoni</w:t>
      </w:r>
      <w:proofErr w:type="spellEnd"/>
      <w:r>
        <w:rPr>
          <w:rFonts w:cs="Times New Roman"/>
          <w:szCs w:val="24"/>
          <w:lang w:val="en-GB"/>
        </w:rPr>
        <w:t xml:space="preserve"> boosted its capacity for production of automotive cables in </w:t>
      </w:r>
      <w:smartTag w:uri="urn:schemas-microsoft-com:office:smarttags" w:element="country-region">
        <w:r>
          <w:rPr>
            <w:rFonts w:cs="Times New Roman"/>
            <w:szCs w:val="24"/>
            <w:lang w:val="en-GB"/>
          </w:rPr>
          <w:t>China</w:t>
        </w:r>
      </w:smartTag>
      <w:r>
        <w:rPr>
          <w:rFonts w:cs="Times New Roman"/>
          <w:szCs w:val="24"/>
          <w:lang w:val="en-GB"/>
        </w:rPr>
        <w:t xml:space="preserve">, </w:t>
      </w:r>
      <w:smartTag w:uri="urn:schemas-microsoft-com:office:smarttags" w:element="country-region">
        <w:r>
          <w:rPr>
            <w:rFonts w:cs="Times New Roman"/>
            <w:szCs w:val="24"/>
            <w:lang w:val="en-GB"/>
          </w:rPr>
          <w:t>Mexico</w:t>
        </w:r>
      </w:smartTag>
      <w:r>
        <w:rPr>
          <w:rFonts w:cs="Times New Roman"/>
          <w:szCs w:val="24"/>
          <w:lang w:val="en-GB"/>
        </w:rPr>
        <w:t xml:space="preserve"> and </w:t>
      </w:r>
      <w:smartTag w:uri="urn:schemas-microsoft-com:office:smarttags" w:element="country-region">
        <w:r>
          <w:rPr>
            <w:rFonts w:cs="Times New Roman"/>
            <w:szCs w:val="24"/>
            <w:lang w:val="en-GB"/>
          </w:rPr>
          <w:t>Slovakia</w:t>
        </w:r>
      </w:smartTag>
      <w:r>
        <w:rPr>
          <w:rFonts w:cs="Times New Roman"/>
          <w:szCs w:val="24"/>
          <w:lang w:val="en-GB"/>
        </w:rPr>
        <w:t xml:space="preserve"> as well as for production of infrastructure cables in </w:t>
      </w:r>
      <w:smartTag w:uri="urn:schemas-microsoft-com:office:smarttags" w:element="country-region">
        <w:smartTag w:uri="urn:schemas-microsoft-com:office:smarttags" w:element="place">
          <w:r>
            <w:rPr>
              <w:rFonts w:cs="Times New Roman"/>
              <w:szCs w:val="24"/>
              <w:lang w:val="en-GB"/>
            </w:rPr>
            <w:t>Mexico</w:t>
          </w:r>
        </w:smartTag>
      </w:smartTag>
      <w:r>
        <w:rPr>
          <w:rFonts w:cs="Times New Roman"/>
          <w:szCs w:val="24"/>
          <w:lang w:val="en-GB"/>
        </w:rPr>
        <w:t>.</w:t>
      </w:r>
      <w:r w:rsidRPr="00905811">
        <w:rPr>
          <w:rFonts w:cs="Times New Roman"/>
          <w:szCs w:val="24"/>
          <w:lang w:val="en-US"/>
        </w:rPr>
        <w:t xml:space="preserve"> </w:t>
      </w:r>
    </w:p>
    <w:p w:rsidR="007F08F8" w:rsidRPr="00905811" w:rsidRDefault="007F08F8" w:rsidP="007F08F8">
      <w:pPr>
        <w:pStyle w:val="MMZwischenberschrift"/>
        <w:rPr>
          <w:rFonts w:cs="Times New Roman"/>
          <w:szCs w:val="24"/>
          <w:lang w:val="en-US"/>
        </w:rPr>
      </w:pPr>
      <w:r>
        <w:rPr>
          <w:rFonts w:cs="Times New Roman"/>
          <w:szCs w:val="24"/>
          <w:lang w:val="en-GB"/>
        </w:rPr>
        <w:br w:type="page"/>
      </w:r>
      <w:r>
        <w:rPr>
          <w:rFonts w:cs="Times New Roman"/>
          <w:szCs w:val="24"/>
          <w:lang w:val="en-GB"/>
        </w:rPr>
        <w:lastRenderedPageBreak/>
        <w:t>More than 63,000 employees worldwide</w:t>
      </w:r>
    </w:p>
    <w:p w:rsidR="0098775F" w:rsidRPr="007F08F8" w:rsidRDefault="007F08F8">
      <w:pPr>
        <w:pStyle w:val="MMFlietext"/>
        <w:rPr>
          <w:rFonts w:cs="Times New Roman"/>
          <w:szCs w:val="24"/>
          <w:lang w:val="en-US"/>
        </w:rPr>
      </w:pPr>
      <w:r>
        <w:rPr>
          <w:rFonts w:cs="Times New Roman"/>
          <w:szCs w:val="24"/>
          <w:lang w:val="en-GB"/>
        </w:rPr>
        <w:t xml:space="preserve">The number of </w:t>
      </w:r>
      <w:proofErr w:type="spellStart"/>
      <w:r>
        <w:rPr>
          <w:rFonts w:cs="Times New Roman"/>
          <w:szCs w:val="24"/>
          <w:lang w:val="en-GB"/>
        </w:rPr>
        <w:t>Leoni’s</w:t>
      </w:r>
      <w:proofErr w:type="spellEnd"/>
      <w:r>
        <w:rPr>
          <w:rFonts w:cs="Times New Roman"/>
          <w:szCs w:val="24"/>
          <w:lang w:val="en-GB"/>
        </w:rPr>
        <w:t xml:space="preserve"> employees also increased in the first three months:</w:t>
      </w:r>
      <w:r w:rsidRPr="00905811">
        <w:rPr>
          <w:rFonts w:cs="Times New Roman"/>
          <w:szCs w:val="24"/>
          <w:lang w:val="en-US"/>
        </w:rPr>
        <w:t xml:space="preserve"> </w:t>
      </w:r>
      <w:r>
        <w:rPr>
          <w:rFonts w:cs="Times New Roman"/>
          <w:szCs w:val="24"/>
          <w:lang w:val="en-GB"/>
        </w:rPr>
        <w:t xml:space="preserve">at the end of March 2012, the Group employed 63,368 people worldwide, which </w:t>
      </w:r>
      <w:proofErr w:type="gramStart"/>
      <w:r>
        <w:rPr>
          <w:rFonts w:cs="Times New Roman"/>
          <w:szCs w:val="24"/>
          <w:lang w:val="en-GB"/>
        </w:rPr>
        <w:t>is</w:t>
      </w:r>
      <w:proofErr w:type="gramEnd"/>
      <w:r>
        <w:rPr>
          <w:rFonts w:cs="Times New Roman"/>
          <w:szCs w:val="24"/>
          <w:lang w:val="en-GB"/>
        </w:rPr>
        <w:t xml:space="preserve"> 2,623 more than at the turn of the year.</w:t>
      </w:r>
      <w:r w:rsidRPr="00905811">
        <w:rPr>
          <w:rFonts w:cs="Times New Roman"/>
          <w:szCs w:val="24"/>
          <w:lang w:val="en-US"/>
        </w:rPr>
        <w:t xml:space="preserve"> </w:t>
      </w:r>
      <w:r>
        <w:rPr>
          <w:rFonts w:cs="Times New Roman"/>
          <w:szCs w:val="24"/>
          <w:lang w:val="en-GB"/>
        </w:rPr>
        <w:t xml:space="preserve">The growth was due mostly to integration of the former </w:t>
      </w:r>
      <w:proofErr w:type="spellStart"/>
      <w:r>
        <w:rPr>
          <w:rFonts w:cs="Times New Roman"/>
          <w:szCs w:val="24"/>
          <w:lang w:val="en-GB"/>
        </w:rPr>
        <w:t>Daekyeung</w:t>
      </w:r>
      <w:proofErr w:type="spellEnd"/>
      <w:r>
        <w:rPr>
          <w:rFonts w:cs="Times New Roman"/>
          <w:szCs w:val="24"/>
          <w:lang w:val="en-GB"/>
        </w:rPr>
        <w:t xml:space="preserve"> employees.</w:t>
      </w:r>
      <w:r w:rsidRPr="00905811">
        <w:rPr>
          <w:rFonts w:cs="Times New Roman"/>
          <w:szCs w:val="24"/>
          <w:lang w:val="en-US"/>
        </w:rPr>
        <w:t xml:space="preserve"> </w:t>
      </w:r>
      <w:r>
        <w:rPr>
          <w:rFonts w:cs="Times New Roman"/>
          <w:szCs w:val="24"/>
          <w:lang w:val="en-GB"/>
        </w:rPr>
        <w:t>Outside Germany the workforce increased by 2,596 people to 59,324, and in Germany it was up by 27 to 4,044 employees</w:t>
      </w:r>
      <w:r w:rsidR="0098775F">
        <w:rPr>
          <w:rFonts w:cs="Times New Roman"/>
          <w:szCs w:val="24"/>
          <w:lang w:val="en-GB"/>
        </w:rPr>
        <w:t xml:space="preserve">. </w:t>
      </w:r>
    </w:p>
    <w:p w:rsidR="00AC5497" w:rsidRPr="00424182" w:rsidRDefault="00AC5497">
      <w:pPr>
        <w:pStyle w:val="MMFlietext"/>
        <w:rPr>
          <w:sz w:val="21"/>
          <w:szCs w:val="21"/>
          <w:lang w:val="en-GB"/>
        </w:rPr>
      </w:pPr>
      <w:r w:rsidRPr="00424182">
        <w:rPr>
          <w:i/>
          <w:sz w:val="21"/>
          <w:szCs w:val="21"/>
          <w:lang w:val="en-GB"/>
        </w:rPr>
        <w:t>(</w:t>
      </w:r>
      <w:r w:rsidR="00BD135F">
        <w:rPr>
          <w:i/>
          <w:sz w:val="21"/>
          <w:szCs w:val="21"/>
          <w:lang w:val="en-GB"/>
        </w:rPr>
        <w:t>4,6</w:t>
      </w:r>
      <w:r w:rsidR="00AA2526">
        <w:rPr>
          <w:i/>
          <w:sz w:val="21"/>
          <w:szCs w:val="21"/>
          <w:lang w:val="en-GB"/>
        </w:rPr>
        <w:t>04</w:t>
      </w:r>
      <w:bookmarkStart w:id="0" w:name="_GoBack"/>
      <w:bookmarkEnd w:id="0"/>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p>
    <w:p w:rsidR="00E26F48" w:rsidRDefault="00E26F48" w:rsidP="00E26F48">
      <w:pPr>
        <w:pStyle w:val="MMKurzprofilberschrift"/>
        <w:spacing w:after="120"/>
        <w:rPr>
          <w:rFonts w:cs="Times New Roman"/>
          <w:szCs w:val="24"/>
          <w:lang w:val="en-GB"/>
        </w:rPr>
      </w:pPr>
      <w:proofErr w:type="spellStart"/>
      <w:r w:rsidRPr="008218D9">
        <w:rPr>
          <w:rFonts w:cs="Times New Roman"/>
          <w:szCs w:val="24"/>
          <w:lang w:val="en-GB"/>
        </w:rPr>
        <w:t>Leoni</w:t>
      </w:r>
      <w:proofErr w:type="spellEnd"/>
      <w:r w:rsidRPr="008218D9">
        <w:rPr>
          <w:rFonts w:cs="Times New Roman"/>
          <w:szCs w:val="24"/>
          <w:lang w:val="en-GB"/>
        </w:rPr>
        <w:t xml:space="preserve">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DF6351" w:rsidTr="00B8338C">
        <w:trPr>
          <w:trHeight w:hRule="exact" w:val="227"/>
        </w:trPr>
        <w:tc>
          <w:tcPr>
            <w:tcW w:w="4077" w:type="dxa"/>
          </w:tcPr>
          <w:p w:rsidR="009E06E1" w:rsidRPr="00DF6351" w:rsidRDefault="0004329A" w:rsidP="00B8338C">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w:t>
            </w:r>
            <w:r w:rsidR="009E06E1" w:rsidRPr="00DF6351">
              <w:rPr>
                <w:rFonts w:ascii="Arial" w:hAnsi="Arial" w:cs="Arial"/>
                <w:b/>
                <w:sz w:val="18"/>
                <w:szCs w:val="18"/>
              </w:rPr>
              <w:t>e</w:t>
            </w:r>
            <w:r w:rsidR="009E06E1">
              <w:rPr>
                <w:rFonts w:ascii="Arial" w:hAnsi="Arial" w:cs="Arial"/>
                <w:b/>
                <w:sz w:val="18"/>
                <w:szCs w:val="18"/>
              </w:rPr>
              <w:t>y</w:t>
            </w:r>
            <w:proofErr w:type="spellEnd"/>
            <w:r w:rsidR="009E06E1">
              <w:rPr>
                <w:rFonts w:ascii="Arial" w:hAnsi="Arial" w:cs="Arial"/>
                <w:b/>
                <w:sz w:val="18"/>
                <w:szCs w:val="18"/>
              </w:rPr>
              <w:t xml:space="preserve"> </w:t>
            </w:r>
            <w:proofErr w:type="spellStart"/>
            <w:r w:rsidR="009E06E1">
              <w:rPr>
                <w:rFonts w:ascii="Arial" w:hAnsi="Arial" w:cs="Arial"/>
                <w:b/>
                <w:sz w:val="18"/>
                <w:szCs w:val="18"/>
              </w:rPr>
              <w:t>figures</w:t>
            </w:r>
            <w:proofErr w:type="spellEnd"/>
          </w:p>
        </w:tc>
        <w:tc>
          <w:tcPr>
            <w:tcW w:w="1276" w:type="dxa"/>
          </w:tcPr>
          <w:p w:rsidR="009E06E1" w:rsidRPr="00DF6351" w:rsidRDefault="007F08F8" w:rsidP="007F08F8">
            <w:pPr>
              <w:tabs>
                <w:tab w:val="left" w:pos="8505"/>
              </w:tabs>
              <w:rPr>
                <w:rFonts w:ascii="Arial" w:hAnsi="Arial" w:cs="Arial"/>
                <w:b/>
                <w:sz w:val="18"/>
                <w:szCs w:val="18"/>
              </w:rPr>
            </w:pPr>
            <w:r>
              <w:rPr>
                <w:rFonts w:ascii="Arial" w:hAnsi="Arial" w:cs="Arial"/>
                <w:b/>
                <w:sz w:val="18"/>
                <w:szCs w:val="18"/>
              </w:rPr>
              <w:t xml:space="preserve">Q1 </w:t>
            </w:r>
            <w:r w:rsidR="009E06E1" w:rsidRPr="00DF6351">
              <w:rPr>
                <w:rFonts w:ascii="Arial" w:hAnsi="Arial" w:cs="Arial"/>
                <w:b/>
                <w:sz w:val="18"/>
                <w:szCs w:val="18"/>
              </w:rPr>
              <w:t>20</w:t>
            </w:r>
            <w:r w:rsidR="009E06E1">
              <w:rPr>
                <w:rFonts w:ascii="Arial" w:hAnsi="Arial" w:cs="Arial"/>
                <w:b/>
                <w:sz w:val="18"/>
                <w:szCs w:val="18"/>
              </w:rPr>
              <w:t>1</w:t>
            </w:r>
            <w:r>
              <w:rPr>
                <w:rFonts w:ascii="Arial" w:hAnsi="Arial" w:cs="Arial"/>
                <w:b/>
                <w:sz w:val="18"/>
                <w:szCs w:val="18"/>
              </w:rPr>
              <w:t>2</w:t>
            </w:r>
          </w:p>
        </w:tc>
        <w:tc>
          <w:tcPr>
            <w:tcW w:w="1276" w:type="dxa"/>
          </w:tcPr>
          <w:p w:rsidR="009E06E1" w:rsidRPr="00DF6351" w:rsidRDefault="007F08F8" w:rsidP="007F08F8">
            <w:pPr>
              <w:tabs>
                <w:tab w:val="left" w:pos="8505"/>
              </w:tabs>
              <w:rPr>
                <w:rFonts w:ascii="Arial" w:hAnsi="Arial" w:cs="Arial"/>
                <w:b/>
                <w:sz w:val="18"/>
                <w:szCs w:val="18"/>
              </w:rPr>
            </w:pPr>
            <w:r>
              <w:rPr>
                <w:rFonts w:ascii="Arial" w:hAnsi="Arial" w:cs="Arial"/>
                <w:b/>
                <w:sz w:val="18"/>
                <w:szCs w:val="18"/>
              </w:rPr>
              <w:t xml:space="preserve">Q1 </w:t>
            </w:r>
            <w:r w:rsidR="009E06E1" w:rsidRPr="00DF6351">
              <w:rPr>
                <w:rFonts w:ascii="Arial" w:hAnsi="Arial" w:cs="Arial"/>
                <w:b/>
                <w:sz w:val="18"/>
                <w:szCs w:val="18"/>
              </w:rPr>
              <w:t>20</w:t>
            </w:r>
            <w:r w:rsidR="009E06E1">
              <w:rPr>
                <w:rFonts w:ascii="Arial" w:hAnsi="Arial" w:cs="Arial"/>
                <w:b/>
                <w:sz w:val="18"/>
                <w:szCs w:val="18"/>
              </w:rPr>
              <w:t>1</w:t>
            </w:r>
            <w:r>
              <w:rPr>
                <w:rFonts w:ascii="Arial" w:hAnsi="Arial" w:cs="Arial"/>
                <w:b/>
                <w:sz w:val="18"/>
                <w:szCs w:val="18"/>
              </w:rPr>
              <w:t>1</w:t>
            </w:r>
          </w:p>
        </w:tc>
        <w:tc>
          <w:tcPr>
            <w:tcW w:w="1276" w:type="dxa"/>
          </w:tcPr>
          <w:p w:rsidR="009E06E1" w:rsidRPr="00DF6351" w:rsidRDefault="009E06E1" w:rsidP="009E06E1">
            <w:pPr>
              <w:tabs>
                <w:tab w:val="left" w:pos="8505"/>
              </w:tabs>
              <w:ind w:left="-13" w:right="-108"/>
              <w:rPr>
                <w:rFonts w:ascii="Arial" w:hAnsi="Arial" w:cs="Arial"/>
                <w:b/>
                <w:sz w:val="18"/>
                <w:szCs w:val="18"/>
              </w:rPr>
            </w:pPr>
            <w:r>
              <w:rPr>
                <w:rFonts w:ascii="Arial" w:hAnsi="Arial" w:cs="Arial"/>
                <w:b/>
                <w:sz w:val="18"/>
                <w:szCs w:val="18"/>
              </w:rPr>
              <w:t>Change</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Sales [€ million]</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969.1</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910.7</w:t>
            </w:r>
          </w:p>
        </w:tc>
        <w:tc>
          <w:tcPr>
            <w:tcW w:w="1276" w:type="dxa"/>
            <w:vAlign w:val="center"/>
          </w:tcPr>
          <w:p w:rsidR="007F08F8" w:rsidRPr="007F08F8" w:rsidRDefault="007F08F8" w:rsidP="007F08F8">
            <w:pPr>
              <w:rPr>
                <w:rFonts w:ascii="Arial" w:hAnsi="Arial"/>
                <w:sz w:val="18"/>
              </w:rPr>
            </w:pPr>
            <w:r w:rsidRPr="007F08F8">
              <w:rPr>
                <w:rFonts w:ascii="Arial" w:hAnsi="Arial"/>
                <w:sz w:val="18"/>
              </w:rPr>
              <w:t>6.4 %</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EBITDA [€ million]</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122.1</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88.1</w:t>
            </w:r>
          </w:p>
        </w:tc>
        <w:tc>
          <w:tcPr>
            <w:tcW w:w="1276" w:type="dxa"/>
            <w:vAlign w:val="center"/>
          </w:tcPr>
          <w:p w:rsidR="007F08F8" w:rsidRPr="007F08F8" w:rsidRDefault="007F08F8" w:rsidP="007F08F8">
            <w:pPr>
              <w:rPr>
                <w:rFonts w:ascii="Arial" w:hAnsi="Arial"/>
                <w:sz w:val="18"/>
              </w:rPr>
            </w:pPr>
            <w:r w:rsidRPr="007F08F8">
              <w:rPr>
                <w:rFonts w:ascii="Arial" w:hAnsi="Arial"/>
                <w:sz w:val="18"/>
              </w:rPr>
              <w:t>38.6 %</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EBIT [€ million]</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93.7</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61.4</w:t>
            </w:r>
          </w:p>
        </w:tc>
        <w:tc>
          <w:tcPr>
            <w:tcW w:w="1276" w:type="dxa"/>
            <w:vAlign w:val="center"/>
          </w:tcPr>
          <w:p w:rsidR="007F08F8" w:rsidRPr="007F08F8" w:rsidRDefault="007F08F8" w:rsidP="007F08F8">
            <w:pPr>
              <w:rPr>
                <w:rFonts w:ascii="Arial" w:hAnsi="Arial"/>
                <w:sz w:val="18"/>
              </w:rPr>
            </w:pPr>
            <w:r w:rsidRPr="007F08F8">
              <w:rPr>
                <w:rFonts w:ascii="Arial" w:hAnsi="Arial"/>
                <w:sz w:val="18"/>
              </w:rPr>
              <w:t>52.6 %</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Adjusted EBIT * [€ million]</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64.1</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65.9</w:t>
            </w:r>
          </w:p>
        </w:tc>
        <w:tc>
          <w:tcPr>
            <w:tcW w:w="1276" w:type="dxa"/>
            <w:vAlign w:val="center"/>
          </w:tcPr>
          <w:p w:rsidR="007F08F8" w:rsidRPr="007F08F8" w:rsidRDefault="007F08F8" w:rsidP="007F08F8">
            <w:pPr>
              <w:rPr>
                <w:rFonts w:ascii="Arial" w:hAnsi="Arial"/>
                <w:sz w:val="18"/>
              </w:rPr>
            </w:pPr>
            <w:r w:rsidRPr="007F08F8">
              <w:rPr>
                <w:rFonts w:ascii="Arial" w:hAnsi="Arial"/>
                <w:sz w:val="18"/>
              </w:rPr>
              <w:t>(2.7) %</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EBT [€ million]</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83.1</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50.4</w:t>
            </w:r>
          </w:p>
        </w:tc>
        <w:tc>
          <w:tcPr>
            <w:tcW w:w="1276" w:type="dxa"/>
            <w:vAlign w:val="center"/>
          </w:tcPr>
          <w:p w:rsidR="007F08F8" w:rsidRPr="007F08F8" w:rsidRDefault="007F08F8" w:rsidP="007F08F8">
            <w:pPr>
              <w:rPr>
                <w:rFonts w:ascii="Arial" w:hAnsi="Arial"/>
                <w:sz w:val="18"/>
              </w:rPr>
            </w:pPr>
            <w:r w:rsidRPr="007F08F8">
              <w:rPr>
                <w:rFonts w:ascii="Arial" w:hAnsi="Arial"/>
                <w:sz w:val="18"/>
              </w:rPr>
              <w:t>64.9 %</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Consolidated net income [€ million]</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64.6</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36.6</w:t>
            </w:r>
          </w:p>
        </w:tc>
        <w:tc>
          <w:tcPr>
            <w:tcW w:w="1276" w:type="dxa"/>
            <w:vAlign w:val="center"/>
          </w:tcPr>
          <w:p w:rsidR="007F08F8" w:rsidRPr="007F08F8" w:rsidRDefault="007F08F8" w:rsidP="007F08F8">
            <w:pPr>
              <w:rPr>
                <w:rFonts w:ascii="Arial" w:hAnsi="Arial"/>
                <w:sz w:val="18"/>
              </w:rPr>
            </w:pPr>
            <w:r w:rsidRPr="007F08F8">
              <w:rPr>
                <w:rFonts w:ascii="Arial" w:hAnsi="Arial"/>
                <w:sz w:val="18"/>
              </w:rPr>
              <w:t>76.5 %</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proofErr w:type="spellStart"/>
            <w:r w:rsidRPr="007F08F8">
              <w:rPr>
                <w:rFonts w:ascii="Arial" w:hAnsi="Arial"/>
                <w:sz w:val="18"/>
                <w:lang w:val="en-GB"/>
              </w:rPr>
              <w:t>Capex</w:t>
            </w:r>
            <w:proofErr w:type="spellEnd"/>
            <w:r w:rsidRPr="007F08F8">
              <w:rPr>
                <w:rFonts w:ascii="Arial" w:hAnsi="Arial"/>
                <w:sz w:val="18"/>
                <w:lang w:val="en-GB"/>
              </w:rPr>
              <w:t xml:space="preserve"> incl. acquisitions [€ million]</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55.1</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21.9</w:t>
            </w:r>
          </w:p>
        </w:tc>
        <w:tc>
          <w:tcPr>
            <w:tcW w:w="1276" w:type="dxa"/>
            <w:vAlign w:val="center"/>
          </w:tcPr>
          <w:p w:rsidR="007F08F8" w:rsidRPr="007F08F8" w:rsidRDefault="007F08F8" w:rsidP="007F08F8">
            <w:pPr>
              <w:rPr>
                <w:rFonts w:ascii="Arial" w:hAnsi="Arial"/>
                <w:sz w:val="18"/>
              </w:rPr>
            </w:pPr>
            <w:r w:rsidRPr="007F08F8">
              <w:rPr>
                <w:rFonts w:ascii="Arial" w:hAnsi="Arial"/>
                <w:sz w:val="18"/>
              </w:rPr>
              <w:t>&gt;100 %</w:t>
            </w:r>
          </w:p>
        </w:tc>
      </w:tr>
      <w:tr w:rsidR="007F08F8" w:rsidRPr="007F08F8" w:rsidTr="007F08F8">
        <w:trPr>
          <w:trHeight w:hRule="exact" w:val="284"/>
        </w:trPr>
        <w:tc>
          <w:tcPr>
            <w:tcW w:w="4077" w:type="dxa"/>
            <w:vAlign w:val="center"/>
          </w:tcPr>
          <w:p w:rsidR="007F08F8" w:rsidRPr="007F08F8" w:rsidRDefault="007F08F8" w:rsidP="007F08F8">
            <w:pPr>
              <w:tabs>
                <w:tab w:val="left" w:pos="8505"/>
              </w:tabs>
              <w:rPr>
                <w:rFonts w:ascii="Arial" w:hAnsi="Arial"/>
                <w:sz w:val="18"/>
                <w:lang w:val="en-GB"/>
              </w:rPr>
            </w:pPr>
            <w:r w:rsidRPr="007F08F8">
              <w:rPr>
                <w:rFonts w:ascii="Arial" w:hAnsi="Arial"/>
                <w:sz w:val="18"/>
                <w:lang w:val="en-GB"/>
              </w:rPr>
              <w:t>Equity ratio [%]</w:t>
            </w:r>
          </w:p>
        </w:tc>
        <w:tc>
          <w:tcPr>
            <w:tcW w:w="1276" w:type="dxa"/>
            <w:vAlign w:val="center"/>
          </w:tcPr>
          <w:p w:rsidR="007F08F8" w:rsidRPr="007F08F8" w:rsidRDefault="007F08F8" w:rsidP="007F08F8">
            <w:pPr>
              <w:tabs>
                <w:tab w:val="left" w:pos="8505"/>
              </w:tabs>
              <w:rPr>
                <w:rFonts w:ascii="Arial" w:hAnsi="Arial"/>
                <w:sz w:val="18"/>
                <w:lang w:val="en-GB"/>
              </w:rPr>
            </w:pPr>
            <w:r w:rsidRPr="007F08F8">
              <w:rPr>
                <w:rFonts w:ascii="Arial" w:hAnsi="Arial"/>
                <w:sz w:val="18"/>
                <w:lang w:val="en-GB"/>
              </w:rPr>
              <w:t>31.9</w:t>
            </w:r>
          </w:p>
        </w:tc>
        <w:tc>
          <w:tcPr>
            <w:tcW w:w="1276" w:type="dxa"/>
            <w:vAlign w:val="center"/>
          </w:tcPr>
          <w:p w:rsidR="007F08F8" w:rsidRPr="007F08F8" w:rsidRDefault="007F08F8" w:rsidP="007F08F8">
            <w:pPr>
              <w:tabs>
                <w:tab w:val="left" w:pos="8505"/>
              </w:tabs>
              <w:rPr>
                <w:rFonts w:ascii="Arial" w:hAnsi="Arial"/>
                <w:sz w:val="18"/>
                <w:lang w:val="en-GB"/>
              </w:rPr>
            </w:pPr>
            <w:r w:rsidRPr="007F08F8">
              <w:rPr>
                <w:rFonts w:ascii="Arial" w:hAnsi="Arial"/>
                <w:sz w:val="18"/>
                <w:lang w:val="en-GB"/>
              </w:rPr>
              <w:t>22.8</w:t>
            </w:r>
          </w:p>
        </w:tc>
        <w:tc>
          <w:tcPr>
            <w:tcW w:w="1276" w:type="dxa"/>
            <w:vAlign w:val="center"/>
          </w:tcPr>
          <w:p w:rsidR="007F08F8" w:rsidRPr="007F08F8" w:rsidRDefault="007F08F8" w:rsidP="007F08F8">
            <w:pPr>
              <w:tabs>
                <w:tab w:val="left" w:pos="8505"/>
              </w:tabs>
              <w:rPr>
                <w:rFonts w:ascii="Arial" w:hAnsi="Arial"/>
                <w:sz w:val="18"/>
                <w:lang w:val="en-GB"/>
              </w:rPr>
            </w:pPr>
            <w:r w:rsidRPr="007F08F8">
              <w:rPr>
                <w:rFonts w:ascii="Arial" w:hAnsi="Arial"/>
                <w:sz w:val="18"/>
                <w:lang w:val="en-GB"/>
              </w:rPr>
              <w:t>--</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Earnings per share [€]</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1.98</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1.23</w:t>
            </w:r>
          </w:p>
        </w:tc>
        <w:tc>
          <w:tcPr>
            <w:tcW w:w="1276" w:type="dxa"/>
            <w:vAlign w:val="center"/>
          </w:tcPr>
          <w:p w:rsidR="007F08F8" w:rsidRPr="007F08F8" w:rsidRDefault="007F08F8" w:rsidP="007F08F8">
            <w:pPr>
              <w:rPr>
                <w:rFonts w:ascii="Arial" w:hAnsi="Arial"/>
                <w:sz w:val="18"/>
              </w:rPr>
            </w:pPr>
            <w:r w:rsidRPr="007F08F8">
              <w:rPr>
                <w:rFonts w:ascii="Arial" w:hAnsi="Arial"/>
                <w:sz w:val="18"/>
              </w:rPr>
              <w:t>61.0 %</w:t>
            </w:r>
          </w:p>
        </w:tc>
      </w:tr>
      <w:tr w:rsidR="007F08F8" w:rsidRPr="0004329A" w:rsidTr="00B8338C">
        <w:trPr>
          <w:trHeight w:hRule="exact" w:val="284"/>
        </w:trPr>
        <w:tc>
          <w:tcPr>
            <w:tcW w:w="4077" w:type="dxa"/>
            <w:vAlign w:val="center"/>
          </w:tcPr>
          <w:p w:rsidR="007F08F8" w:rsidRPr="007F08F8" w:rsidRDefault="007F08F8" w:rsidP="007F08F8">
            <w:pPr>
              <w:tabs>
                <w:tab w:val="left" w:pos="8505"/>
              </w:tabs>
            </w:pPr>
            <w:r w:rsidRPr="007F08F8">
              <w:rPr>
                <w:rFonts w:ascii="Arial" w:hAnsi="Arial"/>
                <w:sz w:val="18"/>
                <w:lang w:val="en-GB"/>
              </w:rPr>
              <w:t>Employees [as at 31 March]</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63,368</w:t>
            </w:r>
          </w:p>
        </w:tc>
        <w:tc>
          <w:tcPr>
            <w:tcW w:w="1276" w:type="dxa"/>
            <w:vAlign w:val="center"/>
          </w:tcPr>
          <w:p w:rsidR="007F08F8" w:rsidRPr="007F08F8" w:rsidRDefault="007F08F8" w:rsidP="007F08F8">
            <w:pPr>
              <w:tabs>
                <w:tab w:val="left" w:pos="8505"/>
              </w:tabs>
              <w:rPr>
                <w:rFonts w:ascii="Arial" w:hAnsi="Arial"/>
                <w:sz w:val="18"/>
              </w:rPr>
            </w:pPr>
            <w:r w:rsidRPr="007F08F8">
              <w:rPr>
                <w:rFonts w:ascii="Arial" w:hAnsi="Arial"/>
                <w:sz w:val="18"/>
              </w:rPr>
              <w:t>56,136</w:t>
            </w:r>
          </w:p>
        </w:tc>
        <w:tc>
          <w:tcPr>
            <w:tcW w:w="1276" w:type="dxa"/>
            <w:vAlign w:val="center"/>
          </w:tcPr>
          <w:p w:rsidR="007F08F8" w:rsidRPr="007F08F8" w:rsidRDefault="007F08F8" w:rsidP="007F08F8">
            <w:pPr>
              <w:rPr>
                <w:rFonts w:ascii="Arial" w:hAnsi="Arial"/>
                <w:sz w:val="18"/>
              </w:rPr>
            </w:pPr>
            <w:r w:rsidRPr="007F08F8">
              <w:rPr>
                <w:rFonts w:ascii="Arial" w:hAnsi="Arial"/>
                <w:sz w:val="18"/>
              </w:rPr>
              <w:t>12.9 %</w:t>
            </w:r>
          </w:p>
        </w:tc>
      </w:tr>
    </w:tbl>
    <w:p w:rsidR="007F08F8" w:rsidRPr="007F08F8" w:rsidRDefault="007F08F8" w:rsidP="007F08F8">
      <w:pPr>
        <w:autoSpaceDE w:val="0"/>
        <w:autoSpaceDN w:val="0"/>
        <w:adjustRightInd w:val="0"/>
        <w:ind w:right="1427"/>
        <w:rPr>
          <w:rFonts w:ascii="Arial" w:hAnsi="Arial"/>
          <w:lang w:val="en-US"/>
        </w:rPr>
      </w:pPr>
      <w:r>
        <w:rPr>
          <w:rFonts w:ascii="Arial" w:hAnsi="Arial"/>
          <w:i/>
          <w:sz w:val="16"/>
          <w:highlight w:val="green"/>
          <w:lang w:val="en-GB"/>
        </w:rPr>
        <w:br/>
      </w:r>
      <w:r w:rsidRPr="008D4891">
        <w:rPr>
          <w:rFonts w:ascii="Arial" w:hAnsi="Arial"/>
          <w:i/>
          <w:sz w:val="16"/>
          <w:lang w:val="en-GB"/>
        </w:rPr>
        <w:t>* Earnings adjusted for the impact of revaluation as part of allocating the prices of major acquisitions, restructuring, impairment of non-current assets, gains on business disposals and income from business combinations including related derivatives</w:t>
      </w:r>
      <w:r w:rsidRPr="007F08F8">
        <w:rPr>
          <w:rFonts w:ascii="Arial" w:hAnsi="Arial"/>
          <w:i/>
          <w:sz w:val="16"/>
          <w:lang w:val="en-US"/>
        </w:rPr>
        <w:t xml:space="preserve"> </w:t>
      </w:r>
    </w:p>
    <w:p w:rsidR="0098775F" w:rsidRDefault="0098775F" w:rsidP="00B8338C">
      <w:pPr>
        <w:spacing w:before="240" w:line="240" w:lineRule="auto"/>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 xml:space="preserve">this release </w:t>
      </w:r>
      <w:r w:rsidR="00E26F48">
        <w:rPr>
          <w:rFonts w:ascii="Arial" w:hAnsi="Arial"/>
          <w:i/>
          <w:sz w:val="21"/>
          <w:lang w:val="en-GB"/>
        </w:rPr>
        <w:br/>
      </w:r>
      <w:r w:rsidR="00E26F48" w:rsidRPr="002C049D">
        <w:rPr>
          <w:rFonts w:ascii="Arial" w:hAnsi="Arial"/>
          <w:sz w:val="36"/>
          <w:szCs w:val="36"/>
          <w:lang w:val="en-GB"/>
        </w:rPr>
        <w:sym w:font="Wingdings" w:char="F046"/>
      </w:r>
      <w:r w:rsidR="00E26F48" w:rsidRPr="002C049D">
        <w:rPr>
          <w:rFonts w:ascii="Arial" w:hAnsi="Arial"/>
          <w:i/>
          <w:sz w:val="20"/>
          <w:lang w:val="en-GB"/>
        </w:rPr>
        <w:t xml:space="preserve"> </w:t>
      </w:r>
      <w:proofErr w:type="gramStart"/>
      <w:r w:rsidR="00E26F48" w:rsidRPr="002C049D">
        <w:rPr>
          <w:rFonts w:ascii="Arial" w:hAnsi="Arial"/>
          <w:i/>
          <w:sz w:val="21"/>
          <w:lang w:val="en-GB"/>
        </w:rPr>
        <w:t>The</w:t>
      </w:r>
      <w:proofErr w:type="gramEnd"/>
      <w:r w:rsidR="00E26F48" w:rsidRPr="002C049D">
        <w:rPr>
          <w:rFonts w:ascii="Arial" w:hAnsi="Arial"/>
          <w:i/>
          <w:sz w:val="21"/>
          <w:lang w:val="en-GB"/>
        </w:rPr>
        <w:t xml:space="preserve"> complete </w:t>
      </w:r>
      <w:r w:rsidR="007F08F8">
        <w:rPr>
          <w:rFonts w:ascii="Arial" w:hAnsi="Arial"/>
          <w:i/>
          <w:sz w:val="21"/>
          <w:lang w:val="en-GB"/>
        </w:rPr>
        <w:t>quarterly</w:t>
      </w:r>
      <w:r w:rsidR="00B8338C">
        <w:rPr>
          <w:rFonts w:ascii="Arial" w:hAnsi="Arial"/>
          <w:i/>
          <w:sz w:val="21"/>
          <w:lang w:val="en-GB"/>
        </w:rPr>
        <w:t xml:space="preserve"> </w:t>
      </w:r>
      <w:r w:rsidR="00E26F48" w:rsidRPr="002C049D">
        <w:rPr>
          <w:rFonts w:ascii="Arial" w:hAnsi="Arial"/>
          <w:i/>
          <w:sz w:val="21"/>
          <w:lang w:val="en-GB"/>
        </w:rPr>
        <w:t xml:space="preserve">report can be </w:t>
      </w:r>
      <w:r w:rsidR="00082230">
        <w:rPr>
          <w:rFonts w:ascii="Arial" w:hAnsi="Arial"/>
          <w:i/>
          <w:sz w:val="21"/>
          <w:lang w:val="en-GB"/>
        </w:rPr>
        <w:t>foun</w:t>
      </w:r>
      <w:r w:rsidR="00E26F48" w:rsidRPr="002C049D">
        <w:rPr>
          <w:rFonts w:ascii="Arial" w:hAnsi="Arial"/>
          <w:i/>
          <w:sz w:val="21"/>
          <w:lang w:val="en-GB"/>
        </w:rPr>
        <w:t>d</w:t>
      </w:r>
      <w:r w:rsidR="00082230">
        <w:rPr>
          <w:rFonts w:ascii="Arial" w:hAnsi="Arial"/>
          <w:i/>
          <w:sz w:val="21"/>
          <w:lang w:val="en-GB"/>
        </w:rPr>
        <w:t xml:space="preserve"> at </w:t>
      </w:r>
      <w:hyperlink r:id="rId9" w:history="1">
        <w:hyperlink r:id="rId10" w:history="1">
          <w:r w:rsidR="00BD135F" w:rsidRPr="00BD135F">
            <w:rPr>
              <w:rStyle w:val="Hyperlink"/>
              <w:rFonts w:ascii="Arial" w:hAnsi="Arial" w:cs="Arial"/>
              <w:i/>
              <w:sz w:val="21"/>
              <w:szCs w:val="21"/>
              <w:lang w:val="en-US"/>
            </w:rPr>
            <w:t>www.leoni.com/?q1-2012&amp;L=</w:t>
          </w:r>
        </w:hyperlink>
        <w:r w:rsidR="00B8338C" w:rsidRPr="002E7CA9">
          <w:rPr>
            <w:rStyle w:val="Hyperlink"/>
            <w:rFonts w:ascii="Arial" w:hAnsi="Arial" w:cs="Arial"/>
            <w:i/>
            <w:sz w:val="21"/>
            <w:szCs w:val="21"/>
            <w:lang w:val="en-US"/>
          </w:rPr>
          <w:t>1</w: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B8338C">
        <w:rPr>
          <w:lang w:val="en-GB"/>
        </w:rPr>
        <w:t>3</w:t>
      </w:r>
      <w:r w:rsidRPr="00C85271">
        <w:rPr>
          <w:lang w:val="en-GB"/>
        </w:rPr>
        <w:t>,000 people in 3</w:t>
      </w:r>
      <w:r w:rsidR="00B8338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B3611C" w:rsidP="004044A6">
      <w:pPr>
        <w:pStyle w:val="MMKurzprofil"/>
        <w:rPr>
          <w:lang w:val="en-US"/>
        </w:rPr>
      </w:pPr>
      <w:hyperlink r:id="rId11"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2" o:title="facebook"/>
            </v:shape>
          </w:pict>
        </w:r>
      </w:hyperlink>
      <w:r w:rsidR="004044A6" w:rsidRPr="004044A6">
        <w:rPr>
          <w:lang w:val="en-US"/>
        </w:rPr>
        <w:t xml:space="preserve"> </w:t>
      </w:r>
      <w:hyperlink r:id="rId13" w:tgtFrame="_blank" w:history="1">
        <w: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4"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5" w:history="1">
        <w:r w:rsidRPr="00C85271">
          <w:rPr>
            <w:rStyle w:val="Hyperlink"/>
            <w:rFonts w:cs="Times New Roman"/>
            <w:szCs w:val="24"/>
            <w:lang w:val="en-GB"/>
          </w:rPr>
          <w:t>presse@leoni.com</w:t>
        </w:r>
      </w:hyperlink>
    </w:p>
    <w:sectPr w:rsidR="0098775F" w:rsidSect="00452CF6">
      <w:headerReference w:type="default" r:id="rId16"/>
      <w:footerReference w:type="default" r:id="rId17"/>
      <w:headerReference w:type="first" r:id="rId18"/>
      <w:footerReference w:type="first" r:id="rId19"/>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1C" w:rsidRDefault="00B3611C">
      <w:pPr>
        <w:rPr>
          <w:sz w:val="16"/>
        </w:rPr>
      </w:pPr>
      <w:r>
        <w:separator/>
      </w:r>
    </w:p>
  </w:endnote>
  <w:endnote w:type="continuationSeparator" w:id="0">
    <w:p w:rsidR="00B3611C" w:rsidRDefault="00B3611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1C" w:rsidRDefault="00B3611C">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AA2526">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AA2526">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B3611C" w:rsidRDefault="00B3611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1C" w:rsidRDefault="00B3611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611C" w:rsidRDefault="00B3611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611C" w:rsidRDefault="00B3611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611C" w:rsidRDefault="00B3611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611C" w:rsidRDefault="00B3611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611C" w:rsidRDefault="00B3611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1C" w:rsidRDefault="00B3611C">
      <w:pPr>
        <w:rPr>
          <w:sz w:val="16"/>
        </w:rPr>
      </w:pPr>
      <w:r>
        <w:separator/>
      </w:r>
    </w:p>
  </w:footnote>
  <w:footnote w:type="continuationSeparator" w:id="0">
    <w:p w:rsidR="00B3611C" w:rsidRDefault="00B3611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1C" w:rsidRPr="00F17738" w:rsidRDefault="00B3611C" w:rsidP="00F65C50">
    <w:pPr>
      <w:pStyle w:val="Kopfzeile"/>
      <w:tabs>
        <w:tab w:val="clear" w:pos="9072"/>
        <w:tab w:val="right" w:pos="9639"/>
      </w:tabs>
      <w:spacing w:after="0" w:line="240" w:lineRule="auto"/>
      <w:rPr>
        <w:rFonts w:ascii="Verdana" w:hAnsi="Verdana"/>
        <w:sz w:val="20"/>
      </w:rPr>
    </w:pPr>
  </w:p>
  <w:p w:rsidR="00B3611C" w:rsidRDefault="00B3611C" w:rsidP="00F65C50">
    <w:pPr>
      <w:pStyle w:val="Kopfzeile"/>
      <w:tabs>
        <w:tab w:val="clear" w:pos="9072"/>
        <w:tab w:val="right" w:pos="9639"/>
      </w:tabs>
      <w:spacing w:after="0" w:line="240" w:lineRule="auto"/>
      <w:rPr>
        <w:rFonts w:ascii="Verdana" w:hAnsi="Verdana"/>
        <w:sz w:val="20"/>
      </w:rPr>
    </w:pPr>
  </w:p>
  <w:p w:rsidR="00B3611C" w:rsidRPr="00F17738" w:rsidRDefault="00B3611C"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B3611C" w:rsidRDefault="00B3611C" w:rsidP="00F65C50">
    <w:pPr>
      <w:spacing w:before="60" w:after="0" w:line="360" w:lineRule="auto"/>
      <w:ind w:right="1429"/>
      <w:rPr>
        <w:rFonts w:ascii="Arial" w:hAnsi="Arial" w:cs="Arial"/>
        <w:b/>
        <w:sz w:val="20"/>
        <w:szCs w:val="20"/>
      </w:rPr>
    </w:pPr>
  </w:p>
  <w:p w:rsidR="00B3611C" w:rsidRDefault="00B3611C"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B3611C" w:rsidRDefault="00B3611C">
    <w:pPr>
      <w:pStyle w:val="Kopfzeile"/>
      <w:tabs>
        <w:tab w:val="clear" w:pos="9072"/>
        <w:tab w:val="right" w:pos="9639"/>
      </w:tabs>
      <w:rPr>
        <w:rFonts w:ascii="Verdana" w:hAnsi="Verdana"/>
        <w:sz w:val="20"/>
      </w:rPr>
    </w:pPr>
  </w:p>
  <w:p w:rsidR="00B3611C" w:rsidRDefault="00B3611C">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p w:rsidR="00B3611C" w:rsidRDefault="00B3611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329A"/>
    <w:rsid w:val="000453F9"/>
    <w:rsid w:val="00082230"/>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E1F50"/>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92E67"/>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08F8"/>
    <w:rsid w:val="007F3212"/>
    <w:rsid w:val="007F68CF"/>
    <w:rsid w:val="00803041"/>
    <w:rsid w:val="008045E1"/>
    <w:rsid w:val="00821BA4"/>
    <w:rsid w:val="00827B83"/>
    <w:rsid w:val="0083522C"/>
    <w:rsid w:val="008446CD"/>
    <w:rsid w:val="008920B0"/>
    <w:rsid w:val="008A0985"/>
    <w:rsid w:val="008A1C0B"/>
    <w:rsid w:val="008A3A81"/>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340F"/>
    <w:rsid w:val="00B139E4"/>
    <w:rsid w:val="00B24E61"/>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pages/LEONI-Group-official-profile/193146627391754"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hyperlink" Target="http://www.leoni.com/?q1-2012&amp;L=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oni.com/?gb11&amp;L=1"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6714</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6</cp:revision>
  <cp:lastPrinted>2012-05-14T11:50:00Z</cp:lastPrinted>
  <dcterms:created xsi:type="dcterms:W3CDTF">2012-05-14T09:55:00Z</dcterms:created>
  <dcterms:modified xsi:type="dcterms:W3CDTF">2012-05-14T15:24:00Z</dcterms:modified>
</cp:coreProperties>
</file>