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33" w:rsidRPr="004355A6" w:rsidRDefault="00333033" w:rsidP="00333033">
      <w:pPr>
        <w:pStyle w:val="MMU1"/>
        <w:rPr>
          <w:bCs w:val="0"/>
          <w:szCs w:val="24"/>
          <w:lang w:val="en-GB"/>
        </w:rPr>
      </w:pPr>
      <w:bookmarkStart w:id="0" w:name="_GoBack"/>
      <w:bookmarkEnd w:id="0"/>
      <w:proofErr w:type="spellStart"/>
      <w:r w:rsidRPr="004355A6">
        <w:rPr>
          <w:bCs w:val="0"/>
          <w:szCs w:val="24"/>
          <w:lang w:val="en-GB"/>
        </w:rPr>
        <w:t>Leoni’s</w:t>
      </w:r>
      <w:proofErr w:type="spellEnd"/>
      <w:r w:rsidRPr="004355A6">
        <w:rPr>
          <w:bCs w:val="0"/>
          <w:szCs w:val="24"/>
          <w:lang w:val="en-GB"/>
        </w:rPr>
        <w:t xml:space="preserve"> consolidated sales up 4 </w:t>
      </w:r>
      <w:proofErr w:type="spellStart"/>
      <w:r w:rsidRPr="004355A6">
        <w:rPr>
          <w:bCs w:val="0"/>
          <w:szCs w:val="24"/>
          <w:lang w:val="en-GB"/>
        </w:rPr>
        <w:t>percent</w:t>
      </w:r>
      <w:proofErr w:type="spellEnd"/>
      <w:r w:rsidRPr="004355A6">
        <w:rPr>
          <w:bCs w:val="0"/>
          <w:szCs w:val="24"/>
          <w:lang w:val="en-GB"/>
        </w:rPr>
        <w:t xml:space="preserve"> to the end of June 2012</w:t>
      </w:r>
    </w:p>
    <w:p w:rsidR="00333033" w:rsidRPr="004355A6" w:rsidRDefault="00333033" w:rsidP="00333033">
      <w:pPr>
        <w:pStyle w:val="MMU2"/>
        <w:rPr>
          <w:rFonts w:cs="Times New Roman"/>
        </w:rPr>
      </w:pPr>
      <w:r w:rsidRPr="004355A6">
        <w:rPr>
          <w:rFonts w:cs="Times New Roman"/>
        </w:rPr>
        <w:t xml:space="preserve">Six-month EBIT rises by 12 </w:t>
      </w:r>
      <w:proofErr w:type="spellStart"/>
      <w:r w:rsidRPr="004355A6">
        <w:rPr>
          <w:rFonts w:cs="Times New Roman"/>
        </w:rPr>
        <w:t>percent</w:t>
      </w:r>
      <w:proofErr w:type="spellEnd"/>
      <w:r w:rsidRPr="004355A6">
        <w:rPr>
          <w:rFonts w:cs="Times New Roman"/>
        </w:rPr>
        <w:t xml:space="preserve"> due to exceptional factor</w:t>
      </w:r>
    </w:p>
    <w:p w:rsidR="00333033" w:rsidRPr="004355A6" w:rsidRDefault="00333033" w:rsidP="00333033">
      <w:pPr>
        <w:pStyle w:val="MMVorspann"/>
        <w:rPr>
          <w:lang w:val="en-GB"/>
        </w:rPr>
      </w:pPr>
      <w:r w:rsidRPr="004355A6">
        <w:rPr>
          <w:lang w:val="en-GB"/>
        </w:rPr>
        <w:t xml:space="preserve">Nuremberg, 7 August 2012 – Leoni, the leading provider of cables and cable systems to the automotive sector and other industries, increased its consolidated sales by more than 4 </w:t>
      </w:r>
      <w:proofErr w:type="spellStart"/>
      <w:r w:rsidRPr="004355A6">
        <w:rPr>
          <w:lang w:val="en-GB"/>
        </w:rPr>
        <w:t>percent</w:t>
      </w:r>
      <w:proofErr w:type="spellEnd"/>
      <w:r w:rsidRPr="004355A6">
        <w:rPr>
          <w:lang w:val="en-GB"/>
        </w:rPr>
        <w:t xml:space="preserve"> year on year in the first half of 2012, to EUR 1,936.7 million (previous year: EUR 1,854.3 million).  Consolidation for the first time of the South Korean wiring systems manufacturer Daekyeung, taken over in full at the beginning of 2012, provided EUR 54.8 million of this </w:t>
      </w:r>
      <w:proofErr w:type="gramStart"/>
      <w:r w:rsidRPr="004355A6">
        <w:rPr>
          <w:lang w:val="en-GB"/>
        </w:rPr>
        <w:t>total</w:t>
      </w:r>
      <w:proofErr w:type="gramEnd"/>
      <w:r w:rsidRPr="004355A6">
        <w:rPr>
          <w:lang w:val="en-GB"/>
        </w:rPr>
        <w:t>. Leoni grew by EUR 58.8 million using its own resources. By contrast, the lower price of copper compared with the previous year exerted a negative effect of EUR 31.3 million. Consolidated EBIT (earnings before interest and taxes) increase</w:t>
      </w:r>
      <w:r w:rsidR="004355A6">
        <w:rPr>
          <w:lang w:val="en-GB"/>
        </w:rPr>
        <w:t>d</w:t>
      </w:r>
      <w:r w:rsidRPr="004355A6">
        <w:rPr>
          <w:lang w:val="en-GB"/>
        </w:rPr>
        <w:t xml:space="preserve"> by 12 </w:t>
      </w:r>
      <w:proofErr w:type="spellStart"/>
      <w:r w:rsidRPr="004355A6">
        <w:rPr>
          <w:lang w:val="en-GB"/>
        </w:rPr>
        <w:t>percent</w:t>
      </w:r>
      <w:proofErr w:type="spellEnd"/>
      <w:r w:rsidRPr="004355A6">
        <w:rPr>
          <w:lang w:val="en-GB"/>
        </w:rPr>
        <w:t xml:space="preserve"> in the first</w:t>
      </w:r>
      <w:r w:rsidR="004355A6">
        <w:rPr>
          <w:lang w:val="en-GB"/>
        </w:rPr>
        <w:t xml:space="preserve"> six months of the current year</w:t>
      </w:r>
      <w:r w:rsidRPr="004355A6">
        <w:rPr>
          <w:lang w:val="en-GB"/>
        </w:rPr>
        <w:t xml:space="preserve"> to EUR 144.5 million (previous year: EUR 129.0 million).  Also to be taken into account in this respect is non-recurring income of EUR 28.2 million from the sale of subsidiary Leoni Studer Hard. The consolidated net income generated from January to June therefore also increased significantly from EUR 82.2 million to EUR 99.1 million. </w:t>
      </w:r>
    </w:p>
    <w:p w:rsidR="00333033" w:rsidRPr="004355A6" w:rsidRDefault="00333033" w:rsidP="00333033">
      <w:pPr>
        <w:pStyle w:val="MMFlietext"/>
        <w:rPr>
          <w:lang w:val="en-GB"/>
        </w:rPr>
      </w:pPr>
      <w:r w:rsidRPr="004355A6">
        <w:rPr>
          <w:lang w:val="en-GB"/>
        </w:rPr>
        <w:t xml:space="preserve">In the second quarter of 2012 </w:t>
      </w:r>
      <w:proofErr w:type="spellStart"/>
      <w:r w:rsidRPr="004355A6">
        <w:rPr>
          <w:lang w:val="en-GB"/>
        </w:rPr>
        <w:t>Leoni’s</w:t>
      </w:r>
      <w:proofErr w:type="spellEnd"/>
      <w:r w:rsidRPr="004355A6">
        <w:rPr>
          <w:lang w:val="en-GB"/>
        </w:rPr>
        <w:t xml:space="preserve"> consolidated sales rose by nearly 3 </w:t>
      </w:r>
      <w:proofErr w:type="spellStart"/>
      <w:r w:rsidRPr="004355A6">
        <w:rPr>
          <w:lang w:val="en-GB"/>
        </w:rPr>
        <w:t>percent</w:t>
      </w:r>
      <w:proofErr w:type="spellEnd"/>
      <w:r w:rsidRPr="004355A6">
        <w:rPr>
          <w:lang w:val="en-GB"/>
        </w:rPr>
        <w:t xml:space="preserve"> year on year to EUR 967.6 million (previous year: EUR 943.7 million) and thus almost matched the record level attained in the first quarter of 2012. Shifts in the product mix, major spending on integrating Daekyeung as well as various exceptional factors compromised earnings before interest and taxes, which, at EUR 50.8 million for the period from April to June 2012, were down from the 2011 figure of EUR 67.6 million. </w:t>
      </w:r>
    </w:p>
    <w:p w:rsidR="00333033" w:rsidRPr="004355A6" w:rsidRDefault="00333033" w:rsidP="00333033">
      <w:pPr>
        <w:pStyle w:val="MMZwischenberschrift"/>
        <w:rPr>
          <w:lang w:val="en-GB"/>
        </w:rPr>
      </w:pPr>
      <w:r w:rsidRPr="004355A6">
        <w:rPr>
          <w:lang w:val="en-GB"/>
        </w:rPr>
        <w:t xml:space="preserve">Wiring systems business grows by 11 </w:t>
      </w:r>
      <w:proofErr w:type="spellStart"/>
      <w:r w:rsidRPr="004355A6">
        <w:rPr>
          <w:lang w:val="en-GB"/>
        </w:rPr>
        <w:t>percent</w:t>
      </w:r>
      <w:proofErr w:type="spellEnd"/>
    </w:p>
    <w:p w:rsidR="00333033" w:rsidRPr="004355A6" w:rsidRDefault="00333033" w:rsidP="00333033">
      <w:pPr>
        <w:pStyle w:val="MMFlietext"/>
        <w:rPr>
          <w:lang w:val="en-GB"/>
        </w:rPr>
      </w:pPr>
      <w:r w:rsidRPr="004355A6">
        <w:rPr>
          <w:lang w:val="en-GB"/>
        </w:rPr>
        <w:t xml:space="preserve">The Wiring Systems Division increased its external sales by about 11 </w:t>
      </w:r>
      <w:proofErr w:type="spellStart"/>
      <w:r w:rsidRPr="004355A6">
        <w:rPr>
          <w:lang w:val="en-GB"/>
        </w:rPr>
        <w:t>percent</w:t>
      </w:r>
      <w:proofErr w:type="spellEnd"/>
      <w:r w:rsidRPr="004355A6">
        <w:rPr>
          <w:lang w:val="en-GB"/>
        </w:rPr>
        <w:t xml:space="preserve"> in the first six months of 2012 to EUR 1,125.8 million (previous year: EUR 1,013.5 million) and by more than 8 </w:t>
      </w:r>
      <w:proofErr w:type="spellStart"/>
      <w:r w:rsidRPr="004355A6">
        <w:rPr>
          <w:lang w:val="en-GB"/>
        </w:rPr>
        <w:t>percent</w:t>
      </w:r>
      <w:proofErr w:type="spellEnd"/>
      <w:r w:rsidRPr="004355A6">
        <w:rPr>
          <w:lang w:val="en-GB"/>
        </w:rPr>
        <w:t xml:space="preserve"> in  the second quarter, to EUR 555.8 million (previous year: EUR 513.3 million). The good performance of the </w:t>
      </w:r>
      <w:r w:rsidRPr="004355A6">
        <w:rPr>
          <w:lang w:val="en-GB"/>
        </w:rPr>
        <w:lastRenderedPageBreak/>
        <w:t xml:space="preserve">beginning of the year thus continued at a slightly weaker pace. Business in Asia grew especially strongly due to consolidation of Daekyeung for the first time, but the division also generated increases in the United States. The division’s EBIT for the first half of 2012 was up slightly on the same period in 2011 from EUR 75.2 million to EUR 77.3 million. Second-quarter EBIT was down from EUR 40.1 million to EUR 33.7 million due additional spending for new product start-ups and integration of Daekyeung, higher restructuring costs as well as a staff bonus for the successful previous year. </w:t>
      </w:r>
    </w:p>
    <w:p w:rsidR="00333033" w:rsidRPr="004355A6" w:rsidRDefault="00333033" w:rsidP="00333033">
      <w:pPr>
        <w:pStyle w:val="MMZwischenberschrift"/>
        <w:rPr>
          <w:lang w:val="en-GB"/>
        </w:rPr>
      </w:pPr>
      <w:r w:rsidRPr="004355A6">
        <w:rPr>
          <w:lang w:val="en-GB"/>
        </w:rPr>
        <w:t xml:space="preserve">Wire and cable product sales slightly below previous year </w:t>
      </w:r>
    </w:p>
    <w:p w:rsidR="00333033" w:rsidRPr="004355A6" w:rsidRDefault="00333033" w:rsidP="00333033">
      <w:pPr>
        <w:pStyle w:val="MMFlietext"/>
        <w:rPr>
          <w:lang w:val="en-GB"/>
        </w:rPr>
      </w:pPr>
      <w:r w:rsidRPr="004355A6">
        <w:rPr>
          <w:lang w:val="en-GB"/>
        </w:rPr>
        <w:t xml:space="preserve">External sales in the Wire &amp; Cable Solutions Division in the period from January to June 2012 were down by about 4 </w:t>
      </w:r>
      <w:proofErr w:type="spellStart"/>
      <w:r w:rsidRPr="004355A6">
        <w:rPr>
          <w:lang w:val="en-GB"/>
        </w:rPr>
        <w:t>percent</w:t>
      </w:r>
      <w:proofErr w:type="spellEnd"/>
      <w:r w:rsidRPr="004355A6">
        <w:rPr>
          <w:lang w:val="en-GB"/>
        </w:rPr>
        <w:t xml:space="preserve"> to EUR 810.9 million (previous year: EUR 840.8 million) due above all to the significantly lower price of copper. With a total of EUR 411.8 million, business in the second quarter of 2012 was likewise down from the figure of EUR 430.3 million recorded for the same period in 2011. This also reflected the absent contribution from subsidiary Leoni Studer Hard, which was sold in March, and the postponement of a major project for the petrochemical industry, which could not be executed until the beginning of the third quarter. These factors, a changed product mix in the automotive cables business and payment of a bonus to staff caused second-quarter EBIT to decrease to EUR 17.0 million (previous year: EUR 27.8 million). Over the first half of 2012 as a whole, on the other hand, the division’s EBIT rose significantly to EUR 67.0 million (previous year: EUR 53.7 million) due to the exceptional income from the business disposal. </w:t>
      </w:r>
    </w:p>
    <w:p w:rsidR="00333033" w:rsidRPr="004355A6" w:rsidRDefault="00333033" w:rsidP="00333033">
      <w:pPr>
        <w:pStyle w:val="MMZwischenberschrift"/>
        <w:rPr>
          <w:lang w:val="en-GB"/>
        </w:rPr>
      </w:pPr>
      <w:r w:rsidRPr="004355A6">
        <w:rPr>
          <w:lang w:val="en-GB"/>
        </w:rPr>
        <w:t>Major spending for new projects</w:t>
      </w:r>
    </w:p>
    <w:p w:rsidR="00333033" w:rsidRPr="004355A6" w:rsidRDefault="00333033" w:rsidP="00333033">
      <w:pPr>
        <w:pStyle w:val="MMFlietext"/>
        <w:rPr>
          <w:lang w:val="en-GB"/>
        </w:rPr>
      </w:pPr>
      <w:r w:rsidRPr="004355A6">
        <w:rPr>
          <w:lang w:val="en-GB"/>
        </w:rPr>
        <w:t xml:space="preserve">In order to provide ample capacity for new projects and contracts involving the automotive and capital goods industries, Leoni nearly doubled its capital investment in property, plant and equipment as well as intangible assets and for acquisitions in the first half of 2012 versus the same period in 2011, i.e. to EUR 104.6 million (previous year: EUR 54.8 million). In the Wiring Systems Division this involved setting up or expanding facilities in Russia and North Africa, among other places. The Wire &amp; Cable Solutions Division completed </w:t>
      </w:r>
      <w:r w:rsidRPr="004355A6">
        <w:rPr>
          <w:lang w:val="en-GB"/>
        </w:rPr>
        <w:lastRenderedPageBreak/>
        <w:t xml:space="preserve">various extension projects for automotive and infrastructure cable production in China, Mexico and Slovakia. </w:t>
      </w:r>
    </w:p>
    <w:p w:rsidR="00333033" w:rsidRPr="004355A6" w:rsidRDefault="00333033" w:rsidP="00333033">
      <w:pPr>
        <w:pStyle w:val="MMZwischenberschrift"/>
        <w:rPr>
          <w:lang w:val="en-GB"/>
        </w:rPr>
      </w:pPr>
      <w:r w:rsidRPr="004355A6">
        <w:rPr>
          <w:lang w:val="en-GB"/>
        </w:rPr>
        <w:t>About 61,000 employees worldwide</w:t>
      </w:r>
    </w:p>
    <w:p w:rsidR="00333033" w:rsidRPr="004355A6" w:rsidRDefault="00333033" w:rsidP="00333033">
      <w:pPr>
        <w:pStyle w:val="MMFlietext"/>
        <w:rPr>
          <w:lang w:val="en-GB"/>
        </w:rPr>
      </w:pPr>
      <w:r w:rsidRPr="004355A6">
        <w:rPr>
          <w:lang w:val="en-GB"/>
        </w:rPr>
        <w:t xml:space="preserve">The Leoni Group employed 61,234 people worldwide on 30 June 2012, i.e. 489 more people than at the end of 2011. However, compared with the highest ever end-of-quarter number on 31 March 2012, there were 2,134 fewer people working for Leoni because one wiring systems plant in China was closed in the wake of restructuring and integrating Daekyeung, and efficiency enhancements were applied at other plants. In total on the reporting date there were 57,161 employees (31 December 2011: 56,728) at facilities outside Germany and 4,073 people (31 December 2011: 4,017) working at locations in Germany. </w:t>
      </w:r>
    </w:p>
    <w:p w:rsidR="00333033" w:rsidRPr="004355A6" w:rsidRDefault="00333033" w:rsidP="00333033">
      <w:pPr>
        <w:pStyle w:val="MMZwischenberschrift"/>
        <w:rPr>
          <w:rFonts w:cs="Times New Roman"/>
          <w:szCs w:val="24"/>
          <w:lang w:val="en-GB"/>
        </w:rPr>
      </w:pPr>
      <w:r w:rsidRPr="004355A6">
        <w:rPr>
          <w:rFonts w:cs="Times New Roman"/>
          <w:szCs w:val="24"/>
          <w:lang w:val="en-GB"/>
        </w:rPr>
        <w:t>Growth forecast circumscribed</w:t>
      </w:r>
    </w:p>
    <w:p w:rsidR="0098775F" w:rsidRPr="004355A6" w:rsidRDefault="00333033">
      <w:pPr>
        <w:pStyle w:val="MMFlietext"/>
        <w:rPr>
          <w:rFonts w:cs="Times New Roman"/>
          <w:szCs w:val="24"/>
          <w:lang w:val="en-GB"/>
        </w:rPr>
      </w:pPr>
      <w:r w:rsidRPr="004355A6">
        <w:rPr>
          <w:lang w:val="en-GB"/>
        </w:rPr>
        <w:t xml:space="preserve">Leoni projects further sales and earnings increases for 2012 as a whole. Based on performance in the second quarter and the demand planning of the carmakers, Leoni at the end of July narrowed its forecast range to consolidated sales of EUR 3.8 and 3.9 billion and operating EBIT of EUR 230 to 250 million. In addition, there is the income from the sale of Leoni Studer Hard, which, adjusted for the estimated earnings contribution from this company, will amount to about EUR 25 million. </w:t>
      </w:r>
      <w:proofErr w:type="gramStart"/>
      <w:r w:rsidRPr="004355A6">
        <w:rPr>
          <w:lang w:val="en-GB"/>
        </w:rPr>
        <w:t>Including this non-recurring factor, Leoni will, from today’s perspective, record EBIT of EUR 255 to 275 million in 2012.</w:t>
      </w:r>
      <w:proofErr w:type="gramEnd"/>
      <w:r w:rsidRPr="004355A6">
        <w:rPr>
          <w:lang w:val="en-GB"/>
        </w:rPr>
        <w:t xml:space="preserve"> The Company reported consolidated sales of EUR 3.7 billion and EBIT of EUR 237 million for fiscal 2011</w:t>
      </w:r>
      <w:r w:rsidR="0098775F" w:rsidRPr="004355A6">
        <w:rPr>
          <w:rFonts w:cs="Times New Roman"/>
          <w:szCs w:val="24"/>
          <w:lang w:val="en-GB"/>
        </w:rPr>
        <w:t xml:space="preserve">. </w:t>
      </w:r>
    </w:p>
    <w:p w:rsidR="00AC5497" w:rsidRPr="004355A6" w:rsidRDefault="00AC5497">
      <w:pPr>
        <w:pStyle w:val="MMFlietext"/>
        <w:rPr>
          <w:i/>
          <w:sz w:val="21"/>
          <w:szCs w:val="21"/>
          <w:lang w:val="en-GB"/>
        </w:rPr>
      </w:pPr>
      <w:r w:rsidRPr="004355A6">
        <w:rPr>
          <w:i/>
          <w:sz w:val="21"/>
          <w:szCs w:val="21"/>
          <w:lang w:val="en-GB"/>
        </w:rPr>
        <w:t>(</w:t>
      </w:r>
      <w:r w:rsidR="00C81771">
        <w:rPr>
          <w:i/>
          <w:sz w:val="21"/>
          <w:szCs w:val="21"/>
          <w:lang w:val="en-GB"/>
        </w:rPr>
        <w:t>5</w:t>
      </w:r>
      <w:r w:rsidRPr="004355A6">
        <w:rPr>
          <w:i/>
          <w:sz w:val="21"/>
          <w:szCs w:val="21"/>
          <w:lang w:val="en-GB"/>
        </w:rPr>
        <w:t>,</w:t>
      </w:r>
      <w:r w:rsidR="00C81771">
        <w:rPr>
          <w:i/>
          <w:sz w:val="21"/>
          <w:szCs w:val="21"/>
          <w:lang w:val="en-GB"/>
        </w:rPr>
        <w:t>837</w:t>
      </w:r>
      <w:r w:rsidRPr="004355A6">
        <w:rPr>
          <w:i/>
          <w:sz w:val="21"/>
          <w:szCs w:val="21"/>
          <w:lang w:val="en-GB"/>
        </w:rPr>
        <w:t xml:space="preserve"> printed characters </w:t>
      </w:r>
      <w:proofErr w:type="spellStart"/>
      <w:r w:rsidRPr="004355A6">
        <w:rPr>
          <w:i/>
          <w:sz w:val="21"/>
          <w:szCs w:val="21"/>
          <w:lang w:val="en-GB"/>
        </w:rPr>
        <w:t>incl</w:t>
      </w:r>
      <w:proofErr w:type="spellEnd"/>
      <w:r w:rsidRPr="004355A6">
        <w:rPr>
          <w:i/>
          <w:sz w:val="21"/>
          <w:szCs w:val="21"/>
          <w:lang w:val="en-GB"/>
        </w:rPr>
        <w:t xml:space="preserve"> empty spaces)</w:t>
      </w:r>
    </w:p>
    <w:p w:rsidR="00333033" w:rsidRDefault="00333033" w:rsidP="00333033">
      <w:pPr>
        <w:spacing w:before="240"/>
        <w:ind w:right="1852"/>
        <w:rPr>
          <w:rFonts w:ascii="Arial" w:hAnsi="Arial"/>
          <w:i/>
          <w:sz w:val="21"/>
          <w:lang w:val="en-GB"/>
        </w:rPr>
      </w:pPr>
      <w:r w:rsidRPr="00C85271">
        <w:rPr>
          <w:rFonts w:ascii="Arial" w:hAnsi="Arial"/>
          <w:sz w:val="36"/>
          <w:szCs w:val="36"/>
          <w:lang w:val="en-GB"/>
        </w:rPr>
        <w:sym w:font="Wingdings" w:char="F046"/>
      </w:r>
      <w:r w:rsidRPr="00C85271">
        <w:rPr>
          <w:rFonts w:ascii="Arial" w:hAnsi="Arial"/>
          <w:i/>
          <w:sz w:val="20"/>
          <w:lang w:val="en-GB"/>
        </w:rPr>
        <w:t xml:space="preserve"> </w:t>
      </w:r>
      <w:r w:rsidRPr="00D92309">
        <w:rPr>
          <w:rFonts w:ascii="Arial" w:hAnsi="Arial"/>
          <w:i/>
          <w:sz w:val="21"/>
          <w:lang w:val="en-GB"/>
        </w:rPr>
        <w:t>Related i</w:t>
      </w:r>
      <w:r w:rsidRPr="00C85271">
        <w:rPr>
          <w:rFonts w:ascii="Arial" w:hAnsi="Arial"/>
          <w:i/>
          <w:sz w:val="21"/>
          <w:lang w:val="en-GB"/>
        </w:rPr>
        <w:t xml:space="preserve">llustration material can be downloaded from </w:t>
      </w:r>
      <w:hyperlink r:id="rId8" w:history="1">
        <w:r w:rsidRPr="00C85271">
          <w:rPr>
            <w:rStyle w:val="Hyperlink"/>
            <w:rFonts w:ascii="Arial" w:hAnsi="Arial"/>
            <w:i/>
            <w:sz w:val="21"/>
            <w:lang w:val="en-GB"/>
          </w:rPr>
          <w:t>www.media.leoni.com</w:t>
        </w:r>
      </w:hyperlink>
      <w:r w:rsidRPr="00C85271">
        <w:rPr>
          <w:rFonts w:ascii="Arial" w:hAnsi="Arial"/>
          <w:i/>
          <w:sz w:val="21"/>
          <w:lang w:val="en-GB"/>
        </w:rPr>
        <w:t xml:space="preserve"> next to this release </w:t>
      </w:r>
      <w:r>
        <w:rPr>
          <w:rFonts w:ascii="Arial" w:hAnsi="Arial"/>
          <w:i/>
          <w:sz w:val="21"/>
          <w:lang w:val="en-GB"/>
        </w:rPr>
        <w:br/>
      </w:r>
      <w:r w:rsidRPr="002C049D">
        <w:rPr>
          <w:rFonts w:ascii="Arial" w:hAnsi="Arial"/>
          <w:sz w:val="36"/>
          <w:szCs w:val="36"/>
          <w:lang w:val="en-GB"/>
        </w:rPr>
        <w:sym w:font="Wingdings" w:char="F046"/>
      </w:r>
      <w:r w:rsidRPr="002C049D">
        <w:rPr>
          <w:rFonts w:ascii="Arial" w:hAnsi="Arial"/>
          <w:i/>
          <w:sz w:val="20"/>
          <w:lang w:val="en-GB"/>
        </w:rPr>
        <w:t xml:space="preserve"> </w:t>
      </w:r>
      <w:proofErr w:type="gramStart"/>
      <w:r w:rsidRPr="002C049D">
        <w:rPr>
          <w:rFonts w:ascii="Arial" w:hAnsi="Arial"/>
          <w:i/>
          <w:sz w:val="21"/>
          <w:lang w:val="en-GB"/>
        </w:rPr>
        <w:t>The</w:t>
      </w:r>
      <w:proofErr w:type="gramEnd"/>
      <w:r w:rsidRPr="002C049D">
        <w:rPr>
          <w:rFonts w:ascii="Arial" w:hAnsi="Arial"/>
          <w:i/>
          <w:sz w:val="21"/>
          <w:lang w:val="en-GB"/>
        </w:rPr>
        <w:t xml:space="preserve"> complete quarterly report can be downloaded from </w:t>
      </w:r>
      <w:hyperlink r:id="rId9" w:history="1">
        <w:r w:rsidR="004355A6" w:rsidRPr="00E962BA">
          <w:rPr>
            <w:rStyle w:val="Hyperlink"/>
            <w:rFonts w:ascii="Arial" w:hAnsi="Arial"/>
            <w:i/>
            <w:sz w:val="21"/>
            <w:lang w:val="en-GB"/>
          </w:rPr>
          <w:t>www.leoni.com/?q2-2012&amp;L=1</w:t>
        </w:r>
      </w:hyperlink>
    </w:p>
    <w:p w:rsidR="00333033" w:rsidRPr="00424182" w:rsidRDefault="00333033">
      <w:pPr>
        <w:pStyle w:val="MMFlietext"/>
        <w:rPr>
          <w:sz w:val="21"/>
          <w:szCs w:val="21"/>
          <w:lang w:val="en-GB"/>
        </w:rPr>
      </w:pPr>
    </w:p>
    <w:p w:rsidR="00E26F48" w:rsidRPr="008218D9" w:rsidRDefault="00333033" w:rsidP="00E26F48">
      <w:pPr>
        <w:pStyle w:val="MMKurzprofilberschrift"/>
        <w:spacing w:after="120"/>
        <w:rPr>
          <w:rFonts w:cs="Times New Roman"/>
          <w:szCs w:val="24"/>
          <w:lang w:val="en-GB"/>
        </w:rPr>
      </w:pPr>
      <w:r>
        <w:rPr>
          <w:rFonts w:cs="Times New Roman"/>
          <w:szCs w:val="24"/>
          <w:lang w:val="en-GB"/>
        </w:rPr>
        <w:br w:type="page"/>
      </w:r>
      <w:r w:rsidR="00E26F48" w:rsidRPr="008218D9">
        <w:rPr>
          <w:rFonts w:cs="Times New Roman"/>
          <w:szCs w:val="24"/>
          <w:lang w:val="en-GB"/>
        </w:rPr>
        <w:lastRenderedPageBreak/>
        <w:t>Leoni performance overview</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921"/>
        <w:gridCol w:w="921"/>
        <w:gridCol w:w="921"/>
        <w:gridCol w:w="922"/>
        <w:gridCol w:w="1293"/>
      </w:tblGrid>
      <w:tr w:rsidR="00E26F48" w:rsidRPr="00333033" w:rsidTr="00267375">
        <w:trPr>
          <w:trHeight w:val="618"/>
        </w:trPr>
        <w:tc>
          <w:tcPr>
            <w:tcW w:w="3936" w:type="dxa"/>
            <w:vAlign w:val="center"/>
          </w:tcPr>
          <w:p w:rsidR="00E26F48" w:rsidRPr="007F68CF" w:rsidRDefault="00E26F48" w:rsidP="00AE31C1">
            <w:pPr>
              <w:tabs>
                <w:tab w:val="left" w:pos="8505"/>
              </w:tabs>
              <w:rPr>
                <w:rFonts w:ascii="Arial" w:hAnsi="Arial" w:cs="Arial"/>
                <w:b/>
                <w:sz w:val="18"/>
                <w:szCs w:val="18"/>
              </w:rPr>
            </w:pPr>
            <w:r w:rsidRPr="007F68CF">
              <w:rPr>
                <w:rFonts w:ascii="Arial" w:hAnsi="Arial"/>
                <w:b/>
                <w:sz w:val="18"/>
                <w:lang w:val="en-GB"/>
              </w:rPr>
              <w:t>Group key figures</w:t>
            </w:r>
          </w:p>
        </w:tc>
        <w:tc>
          <w:tcPr>
            <w:tcW w:w="921" w:type="dxa"/>
            <w:vAlign w:val="center"/>
          </w:tcPr>
          <w:p w:rsidR="00E26F48" w:rsidRPr="00267375" w:rsidRDefault="00E26F48" w:rsidP="00267375">
            <w:pPr>
              <w:tabs>
                <w:tab w:val="left" w:pos="8505"/>
              </w:tabs>
              <w:spacing w:after="0" w:line="240" w:lineRule="auto"/>
              <w:ind w:right="113"/>
              <w:jc w:val="center"/>
              <w:rPr>
                <w:rFonts w:ascii="Arial" w:eastAsia="Times New Roman" w:hAnsi="Arial"/>
                <w:b/>
                <w:noProof/>
                <w:snapToGrid w:val="0"/>
                <w:sz w:val="18"/>
                <w:szCs w:val="24"/>
                <w:lang w:eastAsia="en-GB"/>
              </w:rPr>
            </w:pPr>
            <w:r w:rsidRPr="00267375">
              <w:rPr>
                <w:rFonts w:ascii="Arial" w:eastAsia="Times New Roman" w:hAnsi="Arial"/>
                <w:b/>
                <w:noProof/>
                <w:snapToGrid w:val="0"/>
                <w:sz w:val="18"/>
                <w:szCs w:val="24"/>
                <w:lang w:eastAsia="en-GB"/>
              </w:rPr>
              <w:t>Q</w:t>
            </w:r>
            <w:r w:rsidR="00267375" w:rsidRPr="00267375">
              <w:rPr>
                <w:rFonts w:ascii="Arial" w:eastAsia="Times New Roman" w:hAnsi="Arial"/>
                <w:b/>
                <w:noProof/>
                <w:snapToGrid w:val="0"/>
                <w:sz w:val="18"/>
                <w:szCs w:val="24"/>
                <w:lang w:eastAsia="en-GB"/>
              </w:rPr>
              <w:t>2</w:t>
            </w:r>
            <w:r w:rsidRPr="00267375">
              <w:rPr>
                <w:rFonts w:ascii="Arial" w:eastAsia="Times New Roman" w:hAnsi="Arial"/>
                <w:b/>
                <w:noProof/>
                <w:snapToGrid w:val="0"/>
                <w:sz w:val="18"/>
                <w:szCs w:val="24"/>
                <w:lang w:eastAsia="en-GB"/>
              </w:rPr>
              <w:br/>
              <w:t>201</w:t>
            </w:r>
            <w:r w:rsidR="00267375" w:rsidRPr="00267375">
              <w:rPr>
                <w:rFonts w:ascii="Arial" w:eastAsia="Times New Roman" w:hAnsi="Arial"/>
                <w:b/>
                <w:noProof/>
                <w:snapToGrid w:val="0"/>
                <w:sz w:val="18"/>
                <w:szCs w:val="24"/>
                <w:lang w:eastAsia="en-GB"/>
              </w:rPr>
              <w:t>2</w:t>
            </w:r>
          </w:p>
        </w:tc>
        <w:tc>
          <w:tcPr>
            <w:tcW w:w="921" w:type="dxa"/>
            <w:vAlign w:val="center"/>
          </w:tcPr>
          <w:p w:rsidR="00E26F48" w:rsidRPr="00267375" w:rsidRDefault="00E26F48" w:rsidP="00267375">
            <w:pPr>
              <w:tabs>
                <w:tab w:val="left" w:pos="8505"/>
              </w:tabs>
              <w:spacing w:after="0" w:line="240" w:lineRule="auto"/>
              <w:ind w:right="113"/>
              <w:jc w:val="center"/>
              <w:rPr>
                <w:rFonts w:ascii="Arial" w:eastAsia="Times New Roman" w:hAnsi="Arial"/>
                <w:b/>
                <w:noProof/>
                <w:snapToGrid w:val="0"/>
                <w:sz w:val="18"/>
                <w:szCs w:val="24"/>
                <w:lang w:eastAsia="en-GB"/>
              </w:rPr>
            </w:pPr>
            <w:r w:rsidRPr="00267375">
              <w:rPr>
                <w:rFonts w:ascii="Arial" w:eastAsia="Times New Roman" w:hAnsi="Arial"/>
                <w:b/>
                <w:noProof/>
                <w:snapToGrid w:val="0"/>
                <w:sz w:val="18"/>
                <w:szCs w:val="24"/>
                <w:lang w:eastAsia="en-GB"/>
              </w:rPr>
              <w:t>Q</w:t>
            </w:r>
            <w:r w:rsidR="00267375" w:rsidRPr="00267375">
              <w:rPr>
                <w:rFonts w:ascii="Arial" w:eastAsia="Times New Roman" w:hAnsi="Arial"/>
                <w:b/>
                <w:noProof/>
                <w:snapToGrid w:val="0"/>
                <w:sz w:val="18"/>
                <w:szCs w:val="24"/>
                <w:lang w:eastAsia="en-GB"/>
              </w:rPr>
              <w:t>2</w:t>
            </w:r>
            <w:r w:rsidRPr="00267375">
              <w:rPr>
                <w:rFonts w:ascii="Arial" w:eastAsia="Times New Roman" w:hAnsi="Arial"/>
                <w:b/>
                <w:noProof/>
                <w:snapToGrid w:val="0"/>
                <w:sz w:val="18"/>
                <w:szCs w:val="24"/>
                <w:lang w:eastAsia="en-GB"/>
              </w:rPr>
              <w:br/>
              <w:t>201</w:t>
            </w:r>
            <w:r w:rsidR="00267375" w:rsidRPr="00267375">
              <w:rPr>
                <w:rFonts w:ascii="Arial" w:eastAsia="Times New Roman" w:hAnsi="Arial"/>
                <w:b/>
                <w:noProof/>
                <w:snapToGrid w:val="0"/>
                <w:sz w:val="18"/>
                <w:szCs w:val="24"/>
                <w:lang w:eastAsia="en-GB"/>
              </w:rPr>
              <w:t>1</w:t>
            </w:r>
          </w:p>
        </w:tc>
        <w:tc>
          <w:tcPr>
            <w:tcW w:w="921" w:type="dxa"/>
            <w:vAlign w:val="center"/>
          </w:tcPr>
          <w:p w:rsidR="00E26F48" w:rsidRPr="00267375" w:rsidRDefault="00E26F48" w:rsidP="00267375">
            <w:pPr>
              <w:tabs>
                <w:tab w:val="left" w:pos="8505"/>
              </w:tabs>
              <w:spacing w:after="0" w:line="240" w:lineRule="auto"/>
              <w:ind w:right="113"/>
              <w:jc w:val="center"/>
              <w:rPr>
                <w:rFonts w:ascii="Arial" w:eastAsia="Times New Roman" w:hAnsi="Arial"/>
                <w:b/>
                <w:noProof/>
                <w:snapToGrid w:val="0"/>
                <w:sz w:val="18"/>
                <w:szCs w:val="24"/>
                <w:lang w:eastAsia="en-GB"/>
              </w:rPr>
            </w:pPr>
            <w:r w:rsidRPr="00267375">
              <w:rPr>
                <w:rFonts w:ascii="Arial" w:eastAsia="Times New Roman" w:hAnsi="Arial"/>
                <w:b/>
                <w:noProof/>
                <w:snapToGrid w:val="0"/>
                <w:sz w:val="18"/>
                <w:szCs w:val="24"/>
                <w:lang w:eastAsia="en-GB"/>
              </w:rPr>
              <w:t>Q1-Q</w:t>
            </w:r>
            <w:r w:rsidR="00267375" w:rsidRPr="00267375">
              <w:rPr>
                <w:rFonts w:ascii="Arial" w:eastAsia="Times New Roman" w:hAnsi="Arial"/>
                <w:b/>
                <w:noProof/>
                <w:snapToGrid w:val="0"/>
                <w:sz w:val="18"/>
                <w:szCs w:val="24"/>
                <w:lang w:eastAsia="en-GB"/>
              </w:rPr>
              <w:t>2</w:t>
            </w:r>
            <w:r w:rsidRPr="00267375">
              <w:rPr>
                <w:rFonts w:ascii="Arial" w:eastAsia="Times New Roman" w:hAnsi="Arial"/>
                <w:b/>
                <w:noProof/>
                <w:snapToGrid w:val="0"/>
                <w:sz w:val="18"/>
                <w:szCs w:val="24"/>
                <w:lang w:eastAsia="en-GB"/>
              </w:rPr>
              <w:t xml:space="preserve"> 201</w:t>
            </w:r>
            <w:r w:rsidR="00267375" w:rsidRPr="00267375">
              <w:rPr>
                <w:rFonts w:ascii="Arial" w:eastAsia="Times New Roman" w:hAnsi="Arial"/>
                <w:b/>
                <w:noProof/>
                <w:snapToGrid w:val="0"/>
                <w:sz w:val="18"/>
                <w:szCs w:val="24"/>
                <w:lang w:eastAsia="en-GB"/>
              </w:rPr>
              <w:t>2</w:t>
            </w:r>
          </w:p>
        </w:tc>
        <w:tc>
          <w:tcPr>
            <w:tcW w:w="922" w:type="dxa"/>
            <w:vAlign w:val="center"/>
          </w:tcPr>
          <w:p w:rsidR="00E26F48" w:rsidRPr="00267375" w:rsidRDefault="00E26F48" w:rsidP="00267375">
            <w:pPr>
              <w:tabs>
                <w:tab w:val="left" w:pos="8505"/>
              </w:tabs>
              <w:spacing w:after="0" w:line="240" w:lineRule="auto"/>
              <w:ind w:right="113"/>
              <w:jc w:val="center"/>
              <w:rPr>
                <w:rFonts w:ascii="Arial" w:eastAsia="Times New Roman" w:hAnsi="Arial"/>
                <w:b/>
                <w:noProof/>
                <w:snapToGrid w:val="0"/>
                <w:sz w:val="18"/>
                <w:szCs w:val="24"/>
                <w:lang w:eastAsia="en-GB"/>
              </w:rPr>
            </w:pPr>
            <w:r w:rsidRPr="00267375">
              <w:rPr>
                <w:rFonts w:ascii="Arial" w:eastAsia="Times New Roman" w:hAnsi="Arial"/>
                <w:b/>
                <w:noProof/>
                <w:snapToGrid w:val="0"/>
                <w:sz w:val="18"/>
                <w:szCs w:val="24"/>
                <w:lang w:eastAsia="en-GB"/>
              </w:rPr>
              <w:t>Q1-Q</w:t>
            </w:r>
            <w:r w:rsidR="00267375" w:rsidRPr="00267375">
              <w:rPr>
                <w:rFonts w:ascii="Arial" w:eastAsia="Times New Roman" w:hAnsi="Arial"/>
                <w:b/>
                <w:noProof/>
                <w:snapToGrid w:val="0"/>
                <w:sz w:val="18"/>
                <w:szCs w:val="24"/>
                <w:lang w:eastAsia="en-GB"/>
              </w:rPr>
              <w:t>2</w:t>
            </w:r>
            <w:r w:rsidRPr="00267375">
              <w:rPr>
                <w:rFonts w:ascii="Arial" w:eastAsia="Times New Roman" w:hAnsi="Arial"/>
                <w:b/>
                <w:noProof/>
                <w:snapToGrid w:val="0"/>
                <w:sz w:val="18"/>
                <w:szCs w:val="24"/>
                <w:lang w:eastAsia="en-GB"/>
              </w:rPr>
              <w:t xml:space="preserve">  201</w:t>
            </w:r>
            <w:r w:rsidR="00267375" w:rsidRPr="00267375">
              <w:rPr>
                <w:rFonts w:ascii="Arial" w:eastAsia="Times New Roman" w:hAnsi="Arial"/>
                <w:b/>
                <w:noProof/>
                <w:snapToGrid w:val="0"/>
                <w:sz w:val="18"/>
                <w:szCs w:val="24"/>
                <w:lang w:eastAsia="en-GB"/>
              </w:rPr>
              <w:t>1</w:t>
            </w:r>
          </w:p>
        </w:tc>
        <w:tc>
          <w:tcPr>
            <w:tcW w:w="1293" w:type="dxa"/>
            <w:tcMar>
              <w:left w:w="57" w:type="dxa"/>
              <w:right w:w="57" w:type="dxa"/>
            </w:tcMar>
          </w:tcPr>
          <w:p w:rsidR="00E26F48" w:rsidRPr="00267375" w:rsidRDefault="00E26F48" w:rsidP="00267375">
            <w:pPr>
              <w:tabs>
                <w:tab w:val="left" w:pos="8505"/>
              </w:tabs>
              <w:spacing w:after="0" w:line="240" w:lineRule="auto"/>
              <w:ind w:right="113"/>
              <w:jc w:val="center"/>
              <w:rPr>
                <w:rFonts w:ascii="Arial" w:eastAsia="Times New Roman" w:hAnsi="Arial"/>
                <w:b/>
                <w:noProof/>
                <w:snapToGrid w:val="0"/>
                <w:sz w:val="18"/>
                <w:szCs w:val="24"/>
                <w:lang w:eastAsia="en-GB"/>
              </w:rPr>
            </w:pPr>
            <w:r w:rsidRPr="00267375">
              <w:rPr>
                <w:rFonts w:ascii="Arial" w:eastAsia="Times New Roman" w:hAnsi="Arial"/>
                <w:b/>
                <w:noProof/>
                <w:snapToGrid w:val="0"/>
                <w:sz w:val="18"/>
                <w:szCs w:val="24"/>
                <w:lang w:eastAsia="en-GB"/>
              </w:rPr>
              <w:t xml:space="preserve">Change </w:t>
            </w:r>
            <w:r w:rsidRPr="00267375">
              <w:rPr>
                <w:rFonts w:ascii="Arial" w:eastAsia="Times New Roman" w:hAnsi="Arial"/>
                <w:b/>
                <w:noProof/>
                <w:snapToGrid w:val="0"/>
                <w:sz w:val="18"/>
                <w:szCs w:val="24"/>
                <w:lang w:eastAsia="en-GB"/>
              </w:rPr>
              <w:br/>
              <w:t>Q1-Q</w:t>
            </w:r>
            <w:r w:rsidR="00267375" w:rsidRPr="00267375">
              <w:rPr>
                <w:rFonts w:ascii="Arial" w:eastAsia="Times New Roman" w:hAnsi="Arial"/>
                <w:b/>
                <w:noProof/>
                <w:snapToGrid w:val="0"/>
                <w:sz w:val="18"/>
                <w:szCs w:val="24"/>
                <w:lang w:eastAsia="en-GB"/>
              </w:rPr>
              <w:t>2</w:t>
            </w:r>
            <w:r w:rsidRPr="00267375">
              <w:rPr>
                <w:rFonts w:ascii="Arial" w:eastAsia="Times New Roman" w:hAnsi="Arial"/>
                <w:b/>
                <w:noProof/>
                <w:snapToGrid w:val="0"/>
                <w:sz w:val="18"/>
                <w:szCs w:val="24"/>
                <w:lang w:eastAsia="en-GB"/>
              </w:rPr>
              <w:t xml:space="preserve"> 201</w:t>
            </w:r>
            <w:r w:rsidR="00267375" w:rsidRPr="00267375">
              <w:rPr>
                <w:rFonts w:ascii="Arial" w:eastAsia="Times New Roman" w:hAnsi="Arial"/>
                <w:b/>
                <w:noProof/>
                <w:snapToGrid w:val="0"/>
                <w:sz w:val="18"/>
                <w:szCs w:val="24"/>
                <w:lang w:eastAsia="en-GB"/>
              </w:rPr>
              <w:t>2</w:t>
            </w:r>
            <w:r w:rsidRPr="00267375">
              <w:rPr>
                <w:rFonts w:ascii="Arial" w:eastAsia="Times New Roman" w:hAnsi="Arial"/>
                <w:b/>
                <w:noProof/>
                <w:snapToGrid w:val="0"/>
                <w:sz w:val="18"/>
                <w:szCs w:val="24"/>
                <w:lang w:eastAsia="en-GB"/>
              </w:rPr>
              <w:t>/ Q1-Q</w:t>
            </w:r>
            <w:r w:rsidR="00267375" w:rsidRPr="00267375">
              <w:rPr>
                <w:rFonts w:ascii="Arial" w:eastAsia="Times New Roman" w:hAnsi="Arial"/>
                <w:b/>
                <w:noProof/>
                <w:snapToGrid w:val="0"/>
                <w:sz w:val="18"/>
                <w:szCs w:val="24"/>
                <w:lang w:eastAsia="en-GB"/>
              </w:rPr>
              <w:t>2</w:t>
            </w:r>
            <w:r w:rsidRPr="00267375">
              <w:rPr>
                <w:rFonts w:ascii="Arial" w:eastAsia="Times New Roman" w:hAnsi="Arial"/>
                <w:b/>
                <w:noProof/>
                <w:snapToGrid w:val="0"/>
                <w:sz w:val="18"/>
                <w:szCs w:val="24"/>
                <w:lang w:eastAsia="en-GB"/>
              </w:rPr>
              <w:t xml:space="preserve"> 201</w:t>
            </w:r>
            <w:r w:rsidR="00267375" w:rsidRPr="00267375">
              <w:rPr>
                <w:rFonts w:ascii="Arial" w:eastAsia="Times New Roman" w:hAnsi="Arial"/>
                <w:b/>
                <w:noProof/>
                <w:snapToGrid w:val="0"/>
                <w:sz w:val="18"/>
                <w:szCs w:val="24"/>
                <w:lang w:eastAsia="en-GB"/>
              </w:rPr>
              <w:t>2</w:t>
            </w:r>
          </w:p>
        </w:tc>
      </w:tr>
      <w:tr w:rsidR="00267375" w:rsidRPr="00267375" w:rsidTr="00267375">
        <w:trPr>
          <w:trHeight w:val="284"/>
        </w:trPr>
        <w:tc>
          <w:tcPr>
            <w:tcW w:w="3936" w:type="dxa"/>
            <w:vAlign w:val="center"/>
          </w:tcPr>
          <w:p w:rsidR="00267375" w:rsidRPr="00267375" w:rsidRDefault="00267375" w:rsidP="00267375">
            <w:pPr>
              <w:tabs>
                <w:tab w:val="left" w:pos="8505"/>
              </w:tabs>
              <w:spacing w:after="0"/>
              <w:rPr>
                <w:rFonts w:ascii="Arial" w:eastAsia="Times New Roman" w:hAnsi="Arial"/>
                <w:noProof/>
                <w:snapToGrid w:val="0"/>
                <w:sz w:val="18"/>
                <w:szCs w:val="24"/>
                <w:lang w:eastAsia="en-GB"/>
              </w:rPr>
            </w:pPr>
            <w:r w:rsidRPr="00267375">
              <w:rPr>
                <w:rFonts w:ascii="Arial" w:eastAsia="Times New Roman" w:hAnsi="Arial"/>
                <w:noProof/>
                <w:snapToGrid w:val="0"/>
                <w:sz w:val="18"/>
                <w:szCs w:val="24"/>
                <w:lang w:eastAsia="en-GB"/>
              </w:rPr>
              <w:t>Consolidated sales [€ mil.]</w:t>
            </w:r>
          </w:p>
        </w:tc>
        <w:tc>
          <w:tcPr>
            <w:tcW w:w="921"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967</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6</w:t>
            </w:r>
          </w:p>
        </w:tc>
        <w:tc>
          <w:tcPr>
            <w:tcW w:w="921"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943</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7</w:t>
            </w:r>
          </w:p>
        </w:tc>
        <w:tc>
          <w:tcPr>
            <w:tcW w:w="921" w:type="dxa"/>
            <w:vAlign w:val="center"/>
          </w:tcPr>
          <w:p w:rsidR="00267375" w:rsidRPr="00267375" w:rsidRDefault="00267375" w:rsidP="00267375">
            <w:pPr>
              <w:tabs>
                <w:tab w:val="left" w:pos="8505"/>
              </w:tabs>
              <w:spacing w:after="0"/>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1</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936</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7</w:t>
            </w:r>
          </w:p>
        </w:tc>
        <w:tc>
          <w:tcPr>
            <w:tcW w:w="922" w:type="dxa"/>
            <w:vAlign w:val="center"/>
          </w:tcPr>
          <w:p w:rsidR="00267375" w:rsidRPr="00267375" w:rsidRDefault="00267375" w:rsidP="00267375">
            <w:pPr>
              <w:tabs>
                <w:tab w:val="left" w:pos="8505"/>
              </w:tabs>
              <w:spacing w:after="0"/>
              <w:ind w:right="36"/>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1</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854</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3</w:t>
            </w:r>
          </w:p>
        </w:tc>
        <w:tc>
          <w:tcPr>
            <w:tcW w:w="1293"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4</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4 %</w:t>
            </w:r>
          </w:p>
        </w:tc>
      </w:tr>
      <w:tr w:rsidR="00267375" w:rsidRPr="00267375" w:rsidTr="00267375">
        <w:trPr>
          <w:trHeight w:val="284"/>
        </w:trPr>
        <w:tc>
          <w:tcPr>
            <w:tcW w:w="3936" w:type="dxa"/>
            <w:vAlign w:val="center"/>
          </w:tcPr>
          <w:p w:rsidR="00267375" w:rsidRPr="00267375" w:rsidRDefault="00267375" w:rsidP="00267375">
            <w:pPr>
              <w:tabs>
                <w:tab w:val="left" w:pos="8505"/>
              </w:tabs>
              <w:spacing w:after="0"/>
              <w:rPr>
                <w:rFonts w:ascii="Arial" w:eastAsia="Times New Roman" w:hAnsi="Arial"/>
                <w:noProof/>
                <w:snapToGrid w:val="0"/>
                <w:sz w:val="18"/>
                <w:szCs w:val="24"/>
                <w:lang w:val="en-US" w:eastAsia="en-GB"/>
              </w:rPr>
            </w:pPr>
            <w:r w:rsidRPr="00267375">
              <w:rPr>
                <w:rFonts w:ascii="Arial" w:eastAsia="Times New Roman" w:hAnsi="Arial"/>
                <w:noProof/>
                <w:snapToGrid w:val="0"/>
                <w:sz w:val="18"/>
                <w:szCs w:val="24"/>
                <w:lang w:val="en-US" w:eastAsia="en-GB"/>
              </w:rPr>
              <w:t>Earnings before interest, taxes and depreciation/amortisation (EBITDA) [€ mil.]</w:t>
            </w:r>
          </w:p>
        </w:tc>
        <w:tc>
          <w:tcPr>
            <w:tcW w:w="921"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79</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3</w:t>
            </w:r>
          </w:p>
        </w:tc>
        <w:tc>
          <w:tcPr>
            <w:tcW w:w="921"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94</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3</w:t>
            </w:r>
          </w:p>
        </w:tc>
        <w:tc>
          <w:tcPr>
            <w:tcW w:w="921" w:type="dxa"/>
            <w:vAlign w:val="center"/>
          </w:tcPr>
          <w:p w:rsidR="00267375" w:rsidRPr="00267375" w:rsidRDefault="00267375" w:rsidP="00267375">
            <w:pPr>
              <w:tabs>
                <w:tab w:val="left" w:pos="8505"/>
              </w:tabs>
              <w:spacing w:after="0"/>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201</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4</w:t>
            </w:r>
          </w:p>
        </w:tc>
        <w:tc>
          <w:tcPr>
            <w:tcW w:w="922" w:type="dxa"/>
            <w:vAlign w:val="center"/>
          </w:tcPr>
          <w:p w:rsidR="00267375" w:rsidRPr="00267375" w:rsidRDefault="00267375" w:rsidP="00267375">
            <w:pPr>
              <w:tabs>
                <w:tab w:val="left" w:pos="8505"/>
              </w:tabs>
              <w:spacing w:after="0"/>
              <w:ind w:right="36"/>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182</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4</w:t>
            </w:r>
          </w:p>
        </w:tc>
        <w:tc>
          <w:tcPr>
            <w:tcW w:w="1293"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10</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4 %</w:t>
            </w:r>
          </w:p>
        </w:tc>
      </w:tr>
      <w:tr w:rsidR="00267375" w:rsidRPr="00267375" w:rsidTr="00267375">
        <w:trPr>
          <w:trHeight w:val="284"/>
        </w:trPr>
        <w:tc>
          <w:tcPr>
            <w:tcW w:w="3936" w:type="dxa"/>
            <w:vAlign w:val="center"/>
          </w:tcPr>
          <w:p w:rsidR="00267375" w:rsidRPr="00267375" w:rsidRDefault="00267375" w:rsidP="00267375">
            <w:pPr>
              <w:tabs>
                <w:tab w:val="left" w:pos="8505"/>
              </w:tabs>
              <w:spacing w:after="0"/>
              <w:rPr>
                <w:rFonts w:ascii="Arial" w:eastAsia="Times New Roman" w:hAnsi="Arial"/>
                <w:noProof/>
                <w:snapToGrid w:val="0"/>
                <w:sz w:val="18"/>
                <w:szCs w:val="24"/>
                <w:lang w:val="en-US" w:eastAsia="en-GB"/>
              </w:rPr>
            </w:pPr>
            <w:r w:rsidRPr="00267375">
              <w:rPr>
                <w:rFonts w:ascii="Arial" w:eastAsia="Times New Roman" w:hAnsi="Arial"/>
                <w:noProof/>
                <w:snapToGrid w:val="0"/>
                <w:sz w:val="18"/>
                <w:szCs w:val="24"/>
                <w:lang w:val="en-US" w:eastAsia="en-GB"/>
              </w:rPr>
              <w:t>EBIT [€ mil.]</w:t>
            </w:r>
          </w:p>
        </w:tc>
        <w:tc>
          <w:tcPr>
            <w:tcW w:w="921"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50</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8</w:t>
            </w:r>
          </w:p>
        </w:tc>
        <w:tc>
          <w:tcPr>
            <w:tcW w:w="921"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67</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6</w:t>
            </w:r>
          </w:p>
        </w:tc>
        <w:tc>
          <w:tcPr>
            <w:tcW w:w="921" w:type="dxa"/>
            <w:vAlign w:val="center"/>
          </w:tcPr>
          <w:p w:rsidR="00267375" w:rsidRPr="00267375" w:rsidRDefault="00267375" w:rsidP="00267375">
            <w:pPr>
              <w:tabs>
                <w:tab w:val="left" w:pos="8505"/>
              </w:tabs>
              <w:spacing w:after="0"/>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144</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5</w:t>
            </w:r>
          </w:p>
        </w:tc>
        <w:tc>
          <w:tcPr>
            <w:tcW w:w="922" w:type="dxa"/>
            <w:vAlign w:val="center"/>
          </w:tcPr>
          <w:p w:rsidR="00267375" w:rsidRPr="00267375" w:rsidRDefault="00267375" w:rsidP="00267375">
            <w:pPr>
              <w:tabs>
                <w:tab w:val="left" w:pos="8505"/>
              </w:tabs>
              <w:spacing w:after="0"/>
              <w:ind w:right="36"/>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129</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0</w:t>
            </w:r>
          </w:p>
        </w:tc>
        <w:tc>
          <w:tcPr>
            <w:tcW w:w="1293"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12</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0 %</w:t>
            </w:r>
          </w:p>
        </w:tc>
      </w:tr>
      <w:tr w:rsidR="00267375" w:rsidRPr="00267375" w:rsidTr="00267375">
        <w:trPr>
          <w:trHeight w:val="284"/>
        </w:trPr>
        <w:tc>
          <w:tcPr>
            <w:tcW w:w="3936" w:type="dxa"/>
            <w:vAlign w:val="center"/>
          </w:tcPr>
          <w:p w:rsidR="00267375" w:rsidRPr="00267375" w:rsidRDefault="00267375" w:rsidP="00267375">
            <w:pPr>
              <w:tabs>
                <w:tab w:val="left" w:pos="8505"/>
              </w:tabs>
              <w:spacing w:after="0"/>
              <w:rPr>
                <w:rFonts w:ascii="Arial" w:eastAsia="Times New Roman" w:hAnsi="Arial"/>
                <w:noProof/>
                <w:snapToGrid w:val="0"/>
                <w:sz w:val="18"/>
                <w:szCs w:val="24"/>
                <w:lang w:val="en-US" w:eastAsia="en-GB"/>
              </w:rPr>
            </w:pPr>
            <w:r w:rsidRPr="00267375">
              <w:rPr>
                <w:rFonts w:ascii="Arial" w:eastAsia="Times New Roman" w:hAnsi="Arial"/>
                <w:noProof/>
                <w:snapToGrid w:val="0"/>
                <w:sz w:val="18"/>
                <w:szCs w:val="24"/>
                <w:lang w:val="en-US" w:eastAsia="en-GB"/>
              </w:rPr>
              <w:t>Adjusted EBIT * [€ mil.]</w:t>
            </w:r>
          </w:p>
        </w:tc>
        <w:tc>
          <w:tcPr>
            <w:tcW w:w="921"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58</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3</w:t>
            </w:r>
          </w:p>
        </w:tc>
        <w:tc>
          <w:tcPr>
            <w:tcW w:w="921"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78</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1</w:t>
            </w:r>
          </w:p>
        </w:tc>
        <w:tc>
          <w:tcPr>
            <w:tcW w:w="921" w:type="dxa"/>
            <w:vAlign w:val="center"/>
          </w:tcPr>
          <w:p w:rsidR="00267375" w:rsidRPr="00267375" w:rsidRDefault="00267375" w:rsidP="00267375">
            <w:pPr>
              <w:tabs>
                <w:tab w:val="left" w:pos="8505"/>
              </w:tabs>
              <w:spacing w:after="0"/>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122</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4</w:t>
            </w:r>
          </w:p>
        </w:tc>
        <w:tc>
          <w:tcPr>
            <w:tcW w:w="922" w:type="dxa"/>
            <w:vAlign w:val="center"/>
          </w:tcPr>
          <w:p w:rsidR="00267375" w:rsidRPr="00267375" w:rsidRDefault="00267375" w:rsidP="00267375">
            <w:pPr>
              <w:tabs>
                <w:tab w:val="left" w:pos="8505"/>
              </w:tabs>
              <w:spacing w:after="0"/>
              <w:ind w:right="36"/>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144</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0</w:t>
            </w:r>
          </w:p>
        </w:tc>
        <w:tc>
          <w:tcPr>
            <w:tcW w:w="1293"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15</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0</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 xml:space="preserve"> %</w:t>
            </w:r>
          </w:p>
        </w:tc>
      </w:tr>
      <w:tr w:rsidR="00267375" w:rsidRPr="00267375" w:rsidTr="00267375">
        <w:trPr>
          <w:trHeight w:val="284"/>
        </w:trPr>
        <w:tc>
          <w:tcPr>
            <w:tcW w:w="3936" w:type="dxa"/>
            <w:vAlign w:val="center"/>
          </w:tcPr>
          <w:p w:rsidR="00267375" w:rsidRPr="00267375" w:rsidRDefault="00267375" w:rsidP="00267375">
            <w:pPr>
              <w:tabs>
                <w:tab w:val="left" w:pos="8505"/>
              </w:tabs>
              <w:spacing w:after="0"/>
              <w:rPr>
                <w:rFonts w:ascii="Arial" w:eastAsia="Times New Roman" w:hAnsi="Arial"/>
                <w:noProof/>
                <w:snapToGrid w:val="0"/>
                <w:sz w:val="18"/>
                <w:szCs w:val="24"/>
                <w:lang w:val="en-US" w:eastAsia="en-GB"/>
              </w:rPr>
            </w:pPr>
            <w:r w:rsidRPr="00267375">
              <w:rPr>
                <w:rFonts w:ascii="Arial" w:eastAsia="Times New Roman" w:hAnsi="Arial"/>
                <w:noProof/>
                <w:snapToGrid w:val="0"/>
                <w:sz w:val="18"/>
                <w:szCs w:val="24"/>
                <w:lang w:val="en-US" w:eastAsia="en-GB"/>
              </w:rPr>
              <w:t>Earnings before taxes (EBT) [€ mil.]</w:t>
            </w:r>
          </w:p>
        </w:tc>
        <w:tc>
          <w:tcPr>
            <w:tcW w:w="921"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43</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9</w:t>
            </w:r>
          </w:p>
        </w:tc>
        <w:tc>
          <w:tcPr>
            <w:tcW w:w="921"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57</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4</w:t>
            </w:r>
          </w:p>
        </w:tc>
        <w:tc>
          <w:tcPr>
            <w:tcW w:w="921" w:type="dxa"/>
            <w:vAlign w:val="center"/>
          </w:tcPr>
          <w:p w:rsidR="00267375" w:rsidRPr="00267375" w:rsidRDefault="00267375" w:rsidP="00267375">
            <w:pPr>
              <w:tabs>
                <w:tab w:val="left" w:pos="8505"/>
              </w:tabs>
              <w:spacing w:after="0"/>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127</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0</w:t>
            </w:r>
          </w:p>
        </w:tc>
        <w:tc>
          <w:tcPr>
            <w:tcW w:w="922" w:type="dxa"/>
            <w:vAlign w:val="center"/>
          </w:tcPr>
          <w:p w:rsidR="00267375" w:rsidRPr="00267375" w:rsidRDefault="00267375" w:rsidP="00267375">
            <w:pPr>
              <w:tabs>
                <w:tab w:val="left" w:pos="8505"/>
              </w:tabs>
              <w:spacing w:after="0"/>
              <w:ind w:right="36"/>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107</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8</w:t>
            </w:r>
          </w:p>
        </w:tc>
        <w:tc>
          <w:tcPr>
            <w:tcW w:w="1293"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17</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8 %</w:t>
            </w:r>
          </w:p>
        </w:tc>
      </w:tr>
      <w:tr w:rsidR="00267375" w:rsidRPr="00267375" w:rsidTr="00267375">
        <w:trPr>
          <w:trHeight w:val="284"/>
        </w:trPr>
        <w:tc>
          <w:tcPr>
            <w:tcW w:w="3936" w:type="dxa"/>
            <w:vAlign w:val="center"/>
          </w:tcPr>
          <w:p w:rsidR="00267375" w:rsidRPr="00267375" w:rsidRDefault="00267375" w:rsidP="00267375">
            <w:pPr>
              <w:tabs>
                <w:tab w:val="left" w:pos="8505"/>
              </w:tabs>
              <w:spacing w:after="0"/>
              <w:rPr>
                <w:rFonts w:ascii="Arial" w:eastAsia="Times New Roman" w:hAnsi="Arial"/>
                <w:noProof/>
                <w:snapToGrid w:val="0"/>
                <w:sz w:val="18"/>
                <w:szCs w:val="24"/>
                <w:lang w:val="en-US" w:eastAsia="en-GB"/>
              </w:rPr>
            </w:pPr>
            <w:r w:rsidRPr="00267375">
              <w:rPr>
                <w:rFonts w:ascii="Arial" w:eastAsia="Times New Roman" w:hAnsi="Arial"/>
                <w:noProof/>
                <w:snapToGrid w:val="0"/>
                <w:sz w:val="18"/>
                <w:szCs w:val="24"/>
                <w:lang w:val="en-US" w:eastAsia="en-GB"/>
              </w:rPr>
              <w:t>Consolidated net income [€ mil.]</w:t>
            </w:r>
          </w:p>
        </w:tc>
        <w:tc>
          <w:tcPr>
            <w:tcW w:w="921"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34</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5</w:t>
            </w:r>
          </w:p>
        </w:tc>
        <w:tc>
          <w:tcPr>
            <w:tcW w:w="921"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45</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7</w:t>
            </w:r>
          </w:p>
        </w:tc>
        <w:tc>
          <w:tcPr>
            <w:tcW w:w="921" w:type="dxa"/>
            <w:vAlign w:val="center"/>
          </w:tcPr>
          <w:p w:rsidR="00267375" w:rsidRPr="00267375" w:rsidRDefault="00267375" w:rsidP="00267375">
            <w:pPr>
              <w:tabs>
                <w:tab w:val="left" w:pos="8505"/>
              </w:tabs>
              <w:spacing w:after="0"/>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99</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1</w:t>
            </w:r>
          </w:p>
        </w:tc>
        <w:tc>
          <w:tcPr>
            <w:tcW w:w="922" w:type="dxa"/>
            <w:vAlign w:val="center"/>
          </w:tcPr>
          <w:p w:rsidR="00267375" w:rsidRPr="00267375" w:rsidRDefault="00267375" w:rsidP="00267375">
            <w:pPr>
              <w:tabs>
                <w:tab w:val="left" w:pos="8505"/>
              </w:tabs>
              <w:spacing w:after="0"/>
              <w:ind w:right="36"/>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82</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2</w:t>
            </w:r>
          </w:p>
        </w:tc>
        <w:tc>
          <w:tcPr>
            <w:tcW w:w="1293"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20</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5 %</w:t>
            </w:r>
          </w:p>
        </w:tc>
      </w:tr>
      <w:tr w:rsidR="00267375" w:rsidRPr="00267375" w:rsidTr="00267375">
        <w:trPr>
          <w:trHeight w:val="284"/>
        </w:trPr>
        <w:tc>
          <w:tcPr>
            <w:tcW w:w="3936" w:type="dxa"/>
            <w:vAlign w:val="center"/>
          </w:tcPr>
          <w:p w:rsidR="00267375" w:rsidRPr="00267375" w:rsidRDefault="00267375" w:rsidP="00267375">
            <w:pPr>
              <w:tabs>
                <w:tab w:val="left" w:pos="8505"/>
              </w:tabs>
              <w:spacing w:after="0"/>
              <w:rPr>
                <w:rFonts w:ascii="Arial" w:eastAsia="Times New Roman" w:hAnsi="Arial"/>
                <w:noProof/>
                <w:snapToGrid w:val="0"/>
                <w:sz w:val="18"/>
                <w:szCs w:val="24"/>
                <w:lang w:val="en-US" w:eastAsia="en-GB"/>
              </w:rPr>
            </w:pPr>
            <w:r w:rsidRPr="00267375">
              <w:rPr>
                <w:rFonts w:ascii="Arial" w:eastAsia="Times New Roman" w:hAnsi="Arial"/>
                <w:noProof/>
                <w:snapToGrid w:val="0"/>
                <w:sz w:val="18"/>
                <w:szCs w:val="24"/>
                <w:lang w:val="en-US" w:eastAsia="en-GB"/>
              </w:rPr>
              <w:t>Capital expenditure (incl. acquisitions) [€ mil.]</w:t>
            </w:r>
          </w:p>
        </w:tc>
        <w:tc>
          <w:tcPr>
            <w:tcW w:w="921"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49</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5</w:t>
            </w:r>
          </w:p>
        </w:tc>
        <w:tc>
          <w:tcPr>
            <w:tcW w:w="921"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32</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9</w:t>
            </w:r>
          </w:p>
        </w:tc>
        <w:tc>
          <w:tcPr>
            <w:tcW w:w="921" w:type="dxa"/>
            <w:vAlign w:val="center"/>
          </w:tcPr>
          <w:p w:rsidR="00267375" w:rsidRPr="00267375" w:rsidRDefault="00267375" w:rsidP="00267375">
            <w:pPr>
              <w:tabs>
                <w:tab w:val="left" w:pos="8505"/>
              </w:tabs>
              <w:spacing w:after="0"/>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104</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6</w:t>
            </w:r>
          </w:p>
        </w:tc>
        <w:tc>
          <w:tcPr>
            <w:tcW w:w="922" w:type="dxa"/>
            <w:vAlign w:val="center"/>
          </w:tcPr>
          <w:p w:rsidR="00267375" w:rsidRPr="00267375" w:rsidRDefault="00267375" w:rsidP="00267375">
            <w:pPr>
              <w:tabs>
                <w:tab w:val="left" w:pos="8505"/>
              </w:tabs>
              <w:spacing w:after="0"/>
              <w:ind w:right="36"/>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54</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8</w:t>
            </w:r>
          </w:p>
        </w:tc>
        <w:tc>
          <w:tcPr>
            <w:tcW w:w="1293"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90</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9 %</w:t>
            </w:r>
          </w:p>
        </w:tc>
      </w:tr>
      <w:tr w:rsidR="00267375" w:rsidRPr="00267375" w:rsidTr="00267375">
        <w:trPr>
          <w:trHeight w:val="284"/>
        </w:trPr>
        <w:tc>
          <w:tcPr>
            <w:tcW w:w="3936" w:type="dxa"/>
            <w:vAlign w:val="center"/>
          </w:tcPr>
          <w:p w:rsidR="00267375" w:rsidRPr="00267375" w:rsidRDefault="00267375" w:rsidP="00267375">
            <w:pPr>
              <w:tabs>
                <w:tab w:val="left" w:pos="8505"/>
              </w:tabs>
              <w:spacing w:after="0"/>
              <w:rPr>
                <w:rFonts w:ascii="Arial" w:eastAsia="Times New Roman" w:hAnsi="Arial"/>
                <w:noProof/>
                <w:snapToGrid w:val="0"/>
                <w:sz w:val="18"/>
                <w:szCs w:val="24"/>
                <w:lang w:val="en-US" w:eastAsia="en-GB"/>
              </w:rPr>
            </w:pPr>
            <w:r w:rsidRPr="00267375">
              <w:rPr>
                <w:rFonts w:ascii="Arial" w:eastAsia="Times New Roman" w:hAnsi="Arial"/>
                <w:noProof/>
                <w:snapToGrid w:val="0"/>
                <w:sz w:val="18"/>
                <w:szCs w:val="24"/>
                <w:lang w:val="en-US" w:eastAsia="en-GB"/>
              </w:rPr>
              <w:t>Equity ratio [%]</w:t>
            </w:r>
          </w:p>
        </w:tc>
        <w:tc>
          <w:tcPr>
            <w:tcW w:w="921"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32</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6</w:t>
            </w:r>
          </w:p>
        </w:tc>
        <w:tc>
          <w:tcPr>
            <w:tcW w:w="921"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24</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9</w:t>
            </w:r>
          </w:p>
        </w:tc>
        <w:tc>
          <w:tcPr>
            <w:tcW w:w="921" w:type="dxa"/>
            <w:vAlign w:val="center"/>
          </w:tcPr>
          <w:p w:rsidR="00267375" w:rsidRPr="00267375" w:rsidRDefault="00267375" w:rsidP="00267375">
            <w:pPr>
              <w:tabs>
                <w:tab w:val="left" w:pos="8505"/>
              </w:tabs>
              <w:spacing w:after="0"/>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32</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6</w:t>
            </w:r>
          </w:p>
        </w:tc>
        <w:tc>
          <w:tcPr>
            <w:tcW w:w="922" w:type="dxa"/>
            <w:vAlign w:val="center"/>
          </w:tcPr>
          <w:p w:rsidR="00267375" w:rsidRPr="00267375" w:rsidRDefault="00267375" w:rsidP="00267375">
            <w:pPr>
              <w:tabs>
                <w:tab w:val="left" w:pos="8505"/>
              </w:tabs>
              <w:spacing w:after="0"/>
              <w:ind w:right="36"/>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24</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9</w:t>
            </w:r>
          </w:p>
        </w:tc>
        <w:tc>
          <w:tcPr>
            <w:tcW w:w="1293"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w:t>
            </w:r>
          </w:p>
        </w:tc>
      </w:tr>
      <w:tr w:rsidR="00267375" w:rsidRPr="00267375" w:rsidTr="00267375">
        <w:trPr>
          <w:trHeight w:val="284"/>
        </w:trPr>
        <w:tc>
          <w:tcPr>
            <w:tcW w:w="3936" w:type="dxa"/>
            <w:vAlign w:val="center"/>
          </w:tcPr>
          <w:p w:rsidR="00267375" w:rsidRPr="00267375" w:rsidRDefault="00267375" w:rsidP="004355A6">
            <w:pPr>
              <w:tabs>
                <w:tab w:val="left" w:pos="8505"/>
              </w:tabs>
              <w:spacing w:after="0"/>
              <w:rPr>
                <w:rFonts w:ascii="Arial" w:eastAsia="Times New Roman" w:hAnsi="Arial"/>
                <w:noProof/>
                <w:snapToGrid w:val="0"/>
                <w:sz w:val="18"/>
                <w:szCs w:val="24"/>
                <w:lang w:val="en-US" w:eastAsia="en-GB"/>
              </w:rPr>
            </w:pPr>
            <w:r w:rsidRPr="00267375">
              <w:rPr>
                <w:rFonts w:ascii="Arial" w:eastAsia="Times New Roman" w:hAnsi="Arial"/>
                <w:noProof/>
                <w:snapToGrid w:val="0"/>
                <w:sz w:val="18"/>
                <w:szCs w:val="24"/>
                <w:lang w:val="en-US" w:eastAsia="en-GB"/>
              </w:rPr>
              <w:t>Earnings per share [€]</w:t>
            </w:r>
          </w:p>
        </w:tc>
        <w:tc>
          <w:tcPr>
            <w:tcW w:w="921"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1</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05</w:t>
            </w:r>
          </w:p>
        </w:tc>
        <w:tc>
          <w:tcPr>
            <w:tcW w:w="921"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1</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53</w:t>
            </w:r>
          </w:p>
        </w:tc>
        <w:tc>
          <w:tcPr>
            <w:tcW w:w="921" w:type="dxa"/>
            <w:vAlign w:val="center"/>
          </w:tcPr>
          <w:p w:rsidR="00267375" w:rsidRPr="00267375" w:rsidRDefault="00267375" w:rsidP="00267375">
            <w:pPr>
              <w:tabs>
                <w:tab w:val="left" w:pos="8505"/>
              </w:tabs>
              <w:spacing w:after="0"/>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3</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03</w:t>
            </w:r>
          </w:p>
        </w:tc>
        <w:tc>
          <w:tcPr>
            <w:tcW w:w="922" w:type="dxa"/>
            <w:vAlign w:val="center"/>
          </w:tcPr>
          <w:p w:rsidR="00267375" w:rsidRPr="00267375" w:rsidRDefault="00267375" w:rsidP="00267375">
            <w:pPr>
              <w:tabs>
                <w:tab w:val="left" w:pos="8505"/>
              </w:tabs>
              <w:spacing w:after="0"/>
              <w:ind w:right="36"/>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2</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76</w:t>
            </w:r>
          </w:p>
        </w:tc>
        <w:tc>
          <w:tcPr>
            <w:tcW w:w="1293"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9</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8 %</w:t>
            </w:r>
          </w:p>
        </w:tc>
      </w:tr>
      <w:tr w:rsidR="00267375" w:rsidRPr="00267375" w:rsidTr="00267375">
        <w:trPr>
          <w:trHeight w:val="284"/>
        </w:trPr>
        <w:tc>
          <w:tcPr>
            <w:tcW w:w="3936" w:type="dxa"/>
            <w:vAlign w:val="center"/>
          </w:tcPr>
          <w:p w:rsidR="00267375" w:rsidRPr="00267375" w:rsidRDefault="00267375" w:rsidP="00267375">
            <w:pPr>
              <w:tabs>
                <w:tab w:val="left" w:pos="8505"/>
              </w:tabs>
              <w:spacing w:after="0"/>
              <w:rPr>
                <w:rFonts w:ascii="Arial" w:eastAsia="Times New Roman" w:hAnsi="Arial"/>
                <w:noProof/>
                <w:snapToGrid w:val="0"/>
                <w:sz w:val="18"/>
                <w:szCs w:val="24"/>
                <w:lang w:val="en-US" w:eastAsia="en-GB"/>
              </w:rPr>
            </w:pPr>
            <w:r w:rsidRPr="00267375">
              <w:rPr>
                <w:rFonts w:ascii="Arial" w:eastAsia="Times New Roman" w:hAnsi="Arial"/>
                <w:noProof/>
                <w:snapToGrid w:val="0"/>
                <w:sz w:val="18"/>
                <w:szCs w:val="24"/>
                <w:lang w:val="en-US" w:eastAsia="en-GB"/>
              </w:rPr>
              <w:t xml:space="preserve">Employees (as at 30 </w:t>
            </w:r>
            <w:r>
              <w:rPr>
                <w:rFonts w:ascii="Arial" w:eastAsia="Times New Roman" w:hAnsi="Arial"/>
                <w:noProof/>
                <w:snapToGrid w:val="0"/>
                <w:sz w:val="18"/>
                <w:szCs w:val="24"/>
                <w:lang w:val="en-US" w:eastAsia="en-GB"/>
              </w:rPr>
              <w:t>June</w:t>
            </w:r>
            <w:r w:rsidRPr="00267375">
              <w:rPr>
                <w:rFonts w:ascii="Arial" w:eastAsia="Times New Roman" w:hAnsi="Arial"/>
                <w:noProof/>
                <w:snapToGrid w:val="0"/>
                <w:sz w:val="18"/>
                <w:szCs w:val="24"/>
                <w:lang w:val="en-US" w:eastAsia="en-GB"/>
              </w:rPr>
              <w:t>)</w:t>
            </w:r>
            <w:r w:rsidR="004355A6">
              <w:rPr>
                <w:rFonts w:ascii="Arial" w:eastAsia="Times New Roman" w:hAnsi="Arial"/>
                <w:noProof/>
                <w:snapToGrid w:val="0"/>
                <w:sz w:val="18"/>
                <w:szCs w:val="24"/>
                <w:lang w:val="en-US" w:eastAsia="en-GB"/>
              </w:rPr>
              <w:t xml:space="preserve"> [number]</w:t>
            </w:r>
          </w:p>
        </w:tc>
        <w:tc>
          <w:tcPr>
            <w:tcW w:w="921"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61</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234</w:t>
            </w:r>
          </w:p>
        </w:tc>
        <w:tc>
          <w:tcPr>
            <w:tcW w:w="921"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56</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107</w:t>
            </w:r>
          </w:p>
        </w:tc>
        <w:tc>
          <w:tcPr>
            <w:tcW w:w="921" w:type="dxa"/>
            <w:vAlign w:val="center"/>
          </w:tcPr>
          <w:p w:rsidR="00267375" w:rsidRPr="00267375" w:rsidRDefault="00267375" w:rsidP="00267375">
            <w:pPr>
              <w:tabs>
                <w:tab w:val="left" w:pos="8505"/>
              </w:tabs>
              <w:spacing w:after="0"/>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61</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234</w:t>
            </w:r>
          </w:p>
        </w:tc>
        <w:tc>
          <w:tcPr>
            <w:tcW w:w="922" w:type="dxa"/>
            <w:vAlign w:val="center"/>
          </w:tcPr>
          <w:p w:rsidR="00267375" w:rsidRPr="00267375" w:rsidRDefault="00267375" w:rsidP="00267375">
            <w:pPr>
              <w:tabs>
                <w:tab w:val="left" w:pos="8505"/>
              </w:tabs>
              <w:spacing w:after="0"/>
              <w:ind w:right="36"/>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56</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107</w:t>
            </w:r>
          </w:p>
        </w:tc>
        <w:tc>
          <w:tcPr>
            <w:tcW w:w="1293" w:type="dxa"/>
            <w:vAlign w:val="center"/>
          </w:tcPr>
          <w:p w:rsidR="00267375" w:rsidRPr="00267375" w:rsidRDefault="00267375" w:rsidP="00267375">
            <w:pPr>
              <w:tabs>
                <w:tab w:val="left" w:pos="8505"/>
              </w:tabs>
              <w:spacing w:after="0"/>
              <w:ind w:right="113"/>
              <w:jc w:val="center"/>
              <w:rPr>
                <w:rFonts w:ascii="Arial" w:eastAsia="Times New Roman" w:hAnsi="Arial"/>
                <w:snapToGrid w:val="0"/>
                <w:sz w:val="18"/>
                <w:szCs w:val="24"/>
                <w:lang w:val="it-IT" w:eastAsia="en-GB"/>
              </w:rPr>
            </w:pPr>
            <w:r w:rsidRPr="00267375">
              <w:rPr>
                <w:rFonts w:ascii="Arial" w:eastAsia="Times New Roman" w:hAnsi="Arial"/>
                <w:snapToGrid w:val="0"/>
                <w:sz w:val="18"/>
                <w:szCs w:val="24"/>
                <w:lang w:val="it-IT" w:eastAsia="en-GB"/>
              </w:rPr>
              <w:t>9</w:t>
            </w:r>
            <w:r>
              <w:rPr>
                <w:rFonts w:ascii="Arial" w:eastAsia="Times New Roman" w:hAnsi="Arial"/>
                <w:snapToGrid w:val="0"/>
                <w:sz w:val="18"/>
                <w:szCs w:val="24"/>
                <w:lang w:val="it-IT" w:eastAsia="en-GB"/>
              </w:rPr>
              <w:t>.</w:t>
            </w:r>
            <w:r w:rsidRPr="00267375">
              <w:rPr>
                <w:rFonts w:ascii="Arial" w:eastAsia="Times New Roman" w:hAnsi="Arial"/>
                <w:snapToGrid w:val="0"/>
                <w:sz w:val="18"/>
                <w:szCs w:val="24"/>
                <w:lang w:val="it-IT" w:eastAsia="en-GB"/>
              </w:rPr>
              <w:t>1 %</w:t>
            </w:r>
          </w:p>
        </w:tc>
      </w:tr>
    </w:tbl>
    <w:p w:rsidR="008F37D5" w:rsidRPr="008B7605" w:rsidRDefault="004355A6" w:rsidP="008B7605">
      <w:pPr>
        <w:autoSpaceDE w:val="0"/>
        <w:autoSpaceDN w:val="0"/>
        <w:adjustRightInd w:val="0"/>
        <w:ind w:right="860"/>
        <w:rPr>
          <w:rFonts w:ascii="Arial" w:hAnsi="Arial" w:cs="Arial"/>
          <w:i/>
          <w:sz w:val="16"/>
          <w:szCs w:val="16"/>
          <w:lang w:val="en-GB"/>
        </w:rPr>
      </w:pPr>
      <w:r>
        <w:rPr>
          <w:rFonts w:ascii="Arial" w:hAnsi="Arial" w:cs="Arial"/>
          <w:i/>
          <w:sz w:val="16"/>
          <w:szCs w:val="16"/>
          <w:lang w:val="en-GB"/>
        </w:rPr>
        <w:br/>
      </w:r>
      <w:r w:rsidR="00E26F48" w:rsidRPr="008218D9">
        <w:rPr>
          <w:rFonts w:ascii="Arial" w:hAnsi="Arial" w:cs="Arial"/>
          <w:i/>
          <w:sz w:val="16"/>
          <w:szCs w:val="16"/>
          <w:lang w:val="en-GB"/>
        </w:rPr>
        <w:t xml:space="preserve">* </w:t>
      </w:r>
      <w:r w:rsidR="008B7605" w:rsidRPr="008D4891">
        <w:rPr>
          <w:rFonts w:ascii="Arial" w:hAnsi="Arial"/>
          <w:i/>
          <w:sz w:val="16"/>
          <w:lang w:val="en-GB"/>
        </w:rPr>
        <w:t>Earnings adjusted for the impact of revaluation as part of allocating the prices of major acquisitions, restructuring, impairment of non-current assets, gains on business disposals and income from business combinations including related derivatives</w:t>
      </w:r>
      <w:r w:rsidR="008B7605">
        <w:rPr>
          <w:rFonts w:ascii="Arial" w:hAnsi="Arial" w:cs="Arial"/>
          <w:i/>
          <w:sz w:val="16"/>
          <w:szCs w:val="16"/>
          <w:lang w:val="en-GB"/>
        </w:rPr>
        <w:t>.</w:t>
      </w:r>
    </w:p>
    <w:p w:rsidR="0098775F" w:rsidRPr="00C85271" w:rsidRDefault="0098775F">
      <w:pPr>
        <w:pStyle w:val="MMKurzprofilberschrift"/>
        <w:rPr>
          <w:rFonts w:cs="Times New Roman"/>
          <w:szCs w:val="24"/>
          <w:lang w:val="en-GB"/>
        </w:rPr>
      </w:pPr>
      <w:r w:rsidRPr="00C85271">
        <w:rPr>
          <w:rFonts w:cs="Times New Roman"/>
          <w:szCs w:val="24"/>
          <w:lang w:val="en-GB"/>
        </w:rPr>
        <w:t>About the Leoni Group</w:t>
      </w:r>
    </w:p>
    <w:p w:rsidR="004044A6" w:rsidRDefault="00AC5497" w:rsidP="004044A6">
      <w:pPr>
        <w:pStyle w:val="MMKurzprofil"/>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sidR="008F37D5">
        <w:rPr>
          <w:lang w:val="en-GB"/>
        </w:rPr>
        <w:t xml:space="preserve">m single-core automotive cables </w:t>
      </w:r>
      <w:r w:rsidRPr="00C85271">
        <w:rPr>
          <w:lang w:val="en-GB"/>
        </w:rPr>
        <w:t xml:space="preserve">through to complete wiring systems. </w:t>
      </w:r>
      <w:proofErr w:type="spellStart"/>
      <w:r w:rsidRPr="00C85271">
        <w:rPr>
          <w:lang w:val="en-GB"/>
        </w:rPr>
        <w:t>Leoni’s</w:t>
      </w:r>
      <w:proofErr w:type="spellEnd"/>
      <w:r w:rsidRPr="00C85271">
        <w:rPr>
          <w:lang w:val="en-GB"/>
        </w:rPr>
        <w:t xml:space="preserve"> product range also comprises wires and strands, standardised cables, special cables and cable system assemblies for various industrial markets. The group of companies, which is listed on the German MDAX, employs </w:t>
      </w:r>
      <w:r w:rsidR="00E26F48">
        <w:rPr>
          <w:lang w:val="en-GB"/>
        </w:rPr>
        <w:t>more than</w:t>
      </w:r>
      <w:r w:rsidR="00725A31">
        <w:rPr>
          <w:lang w:val="en-GB"/>
        </w:rPr>
        <w:t xml:space="preserve"> 6</w:t>
      </w:r>
      <w:r w:rsidR="008B7605">
        <w:rPr>
          <w:lang w:val="en-GB"/>
        </w:rPr>
        <w:t>1</w:t>
      </w:r>
      <w:r w:rsidRPr="00C85271">
        <w:rPr>
          <w:lang w:val="en-GB"/>
        </w:rPr>
        <w:t>,000 people in 3</w:t>
      </w:r>
      <w:r w:rsidR="00D651EC">
        <w:rPr>
          <w:lang w:val="en-GB"/>
        </w:rPr>
        <w:t>1</w:t>
      </w:r>
      <w:r w:rsidRPr="00C85271">
        <w:rPr>
          <w:lang w:val="en-GB"/>
        </w:rPr>
        <w:t xml:space="preserve"> countries and generated consolidated sales of </w:t>
      </w:r>
      <w:r w:rsidRPr="00B572CD">
        <w:rPr>
          <w:lang w:val="en-US"/>
        </w:rPr>
        <w:t xml:space="preserve">EUR </w:t>
      </w:r>
      <w:r w:rsidR="00B572CD" w:rsidRPr="00B572CD">
        <w:rPr>
          <w:lang w:val="en-US"/>
        </w:rPr>
        <w:t>3.7</w:t>
      </w:r>
      <w:r w:rsidRPr="00B572CD">
        <w:rPr>
          <w:lang w:val="en-US"/>
        </w:rPr>
        <w:t xml:space="preserve"> billion in 201</w:t>
      </w:r>
      <w:r w:rsidR="00B572CD" w:rsidRPr="00B572CD">
        <w:rPr>
          <w:lang w:val="en-US"/>
        </w:rPr>
        <w:t>1</w:t>
      </w:r>
      <w:r w:rsidR="008F37D5">
        <w:rPr>
          <w:lang w:val="en-US"/>
        </w:rPr>
        <w:t>.</w:t>
      </w:r>
    </w:p>
    <w:p w:rsidR="004044A6" w:rsidRDefault="004044A6" w:rsidP="004044A6">
      <w:pPr>
        <w:pStyle w:val="MMKurzprofil"/>
        <w:rPr>
          <w:lang w:val="en-GB"/>
        </w:rPr>
      </w:pPr>
    </w:p>
    <w:p w:rsidR="004044A6" w:rsidRPr="004044A6" w:rsidRDefault="00267375" w:rsidP="004044A6">
      <w:pPr>
        <w:pStyle w:val="MMKurzprofil"/>
        <w:rPr>
          <w:lang w:val="en-US"/>
        </w:rPr>
      </w:pPr>
      <w:hyperlink r:id="rId10" w:tgtFrame="_blank" w:history="1">
        <w:r w:rsidR="0033303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pages/LEONI-Group-official-profile/193146627391754" target="_blank" style="width:14.25pt;height:14.25pt;mso-position-horizontal-relative:text;mso-position-vertical:absolute;mso-position-vertical-relative:text" wrapcoords="-1137 0 -1137 20463 21600 20463 21600 0 -1137 0" o:allowoverlap="f" o:button="t">
              <v:imagedata r:id="rId11" o:title="facebook"/>
            </v:shape>
          </w:pict>
        </w:r>
      </w:hyperlink>
      <w:r w:rsidR="004044A6" w:rsidRPr="004044A6">
        <w:rPr>
          <w:lang w:val="en-US"/>
        </w:rPr>
        <w:t xml:space="preserve"> </w:t>
      </w:r>
      <w:hyperlink r:id="rId12" w:tgtFrame="_blank" w:history="1">
        <w:r w:rsidR="00333033">
          <w:pict>
            <v:shape id="_x0000_i1026" type="#_x0000_t75" alt="" href="https://www.xing.com/companies/leoniag" target="_blank" style="width:14.25pt;height:14.25pt;mso-position-horizontal-relative:text;mso-position-vertical:absolute;mso-position-vertical-relative:text" wrapcoords="-1137 0 -1137 20463 21600 20463 21600 0 -1137 0" o:allowoverlap="f" o:button="t">
              <v:imagedata r:id="rId13" o:title="xing"/>
            </v:shape>
          </w:pict>
        </w:r>
      </w:hyperlink>
    </w:p>
    <w:p w:rsidR="0098775F" w:rsidRPr="00C85271" w:rsidRDefault="0098775F">
      <w:pPr>
        <w:pStyle w:val="MMKurzprofilberschrift"/>
        <w:rPr>
          <w:rFonts w:cs="Times New Roman"/>
          <w:szCs w:val="24"/>
          <w:lang w:val="en-GB"/>
        </w:rPr>
      </w:pPr>
      <w:r w:rsidRPr="00C85271">
        <w:rPr>
          <w:rFonts w:cs="Times New Roman"/>
          <w:szCs w:val="24"/>
          <w:lang w:val="en-GB"/>
        </w:rPr>
        <w:t xml:space="preserve">Contact </w:t>
      </w:r>
      <w:r w:rsidR="00AC5497" w:rsidRPr="00C85271">
        <w:rPr>
          <w:rFonts w:cs="Times New Roman"/>
          <w:szCs w:val="24"/>
          <w:lang w:val="en-GB"/>
        </w:rPr>
        <w:t xml:space="preserve">person </w:t>
      </w:r>
      <w:r w:rsidRPr="00C85271">
        <w:rPr>
          <w:rFonts w:cs="Times New Roman"/>
          <w:szCs w:val="24"/>
          <w:lang w:val="en-GB"/>
        </w:rPr>
        <w:t>for journalists</w:t>
      </w:r>
    </w:p>
    <w:p w:rsidR="0098775F" w:rsidRPr="00C85271" w:rsidRDefault="0098775F">
      <w:pPr>
        <w:pStyle w:val="MMKurzprofil"/>
        <w:rPr>
          <w:rFonts w:cs="Times New Roman"/>
          <w:szCs w:val="24"/>
          <w:lang w:val="en-GB"/>
        </w:rPr>
      </w:pPr>
      <w:r w:rsidRPr="00C85271">
        <w:rPr>
          <w:rFonts w:cs="Times New Roman"/>
          <w:szCs w:val="24"/>
          <w:lang w:val="en-GB"/>
        </w:rPr>
        <w:t>Sven Schmidt</w:t>
      </w:r>
    </w:p>
    <w:p w:rsidR="0098775F" w:rsidRDefault="0098775F">
      <w:pPr>
        <w:pStyle w:val="MMKurzprofil"/>
        <w:rPr>
          <w:rFonts w:cs="Times New Roman"/>
          <w:szCs w:val="24"/>
          <w:lang w:val="en-GB"/>
        </w:rPr>
      </w:pPr>
      <w:r w:rsidRPr="00C85271">
        <w:rPr>
          <w:rFonts w:cs="Times New Roman"/>
          <w:szCs w:val="24"/>
          <w:lang w:val="en-GB"/>
        </w:rPr>
        <w:t>Corporate Public &amp; Media Relations</w:t>
      </w:r>
    </w:p>
    <w:p w:rsidR="00452CF6" w:rsidRPr="00C85271" w:rsidRDefault="00452CF6">
      <w:pPr>
        <w:pStyle w:val="MMKurzprofil"/>
        <w:rPr>
          <w:rFonts w:cs="Times New Roman"/>
          <w:szCs w:val="24"/>
          <w:lang w:val="en-GB"/>
        </w:rPr>
      </w:pPr>
      <w:r>
        <w:rPr>
          <w:rFonts w:cs="Times New Roman"/>
          <w:szCs w:val="24"/>
          <w:lang w:val="en-GB"/>
        </w:rPr>
        <w:t>LEONI AG</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98775F" w:rsidRDefault="0098775F">
      <w:pPr>
        <w:pStyle w:val="MMKurzprofil"/>
        <w:tabs>
          <w:tab w:val="clear" w:pos="8505"/>
          <w:tab w:val="left" w:pos="851"/>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4" w:history="1">
        <w:r w:rsidRPr="00C85271">
          <w:rPr>
            <w:rStyle w:val="Hyperlink"/>
            <w:rFonts w:cs="Times New Roman"/>
            <w:szCs w:val="24"/>
            <w:lang w:val="en-GB"/>
          </w:rPr>
          <w:t>presse@leoni.com</w:t>
        </w:r>
      </w:hyperlink>
    </w:p>
    <w:sectPr w:rsidR="0098775F" w:rsidSect="00452CF6">
      <w:headerReference w:type="default" r:id="rId15"/>
      <w:footerReference w:type="default" r:id="rId16"/>
      <w:headerReference w:type="first" r:id="rId17"/>
      <w:footerReference w:type="first" r:id="rId18"/>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5A6" w:rsidRDefault="004355A6">
      <w:pPr>
        <w:rPr>
          <w:sz w:val="16"/>
        </w:rPr>
      </w:pPr>
      <w:r>
        <w:separator/>
      </w:r>
    </w:p>
  </w:endnote>
  <w:endnote w:type="continuationSeparator" w:id="0">
    <w:p w:rsidR="004355A6" w:rsidRDefault="004355A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A6" w:rsidRDefault="004355A6">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C81771">
      <w:rPr>
        <w:rStyle w:val="Seitenzahl"/>
        <w:rFonts w:ascii="Arial" w:hAnsi="Arial"/>
        <w:i/>
        <w:noProof/>
        <w:sz w:val="16"/>
      </w:rPr>
      <w:t>1</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C81771">
      <w:rPr>
        <w:rStyle w:val="Seitenzahl"/>
        <w:rFonts w:ascii="Arial" w:hAnsi="Arial"/>
        <w:i/>
        <w:noProof/>
        <w:sz w:val="16"/>
      </w:rPr>
      <w:t>4</w:t>
    </w:r>
    <w:r>
      <w:rPr>
        <w:rStyle w:val="Seitenzahl"/>
        <w:rFonts w:ascii="Arial" w:hAnsi="Arial"/>
        <w:i/>
        <w:noProof/>
        <w:sz w:val="16"/>
      </w:rPr>
      <w:fldChar w:fldCharType="end"/>
    </w:r>
    <w:r>
      <w:rPr>
        <w:rFonts w:ascii="Arial" w:hAnsi="Arial"/>
        <w:b/>
        <w:color w:val="004089"/>
        <w:sz w:val="12"/>
      </w:rPr>
      <w:tab/>
    </w:r>
  </w:p>
  <w:p w:rsidR="004355A6" w:rsidRDefault="004355A6">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A6" w:rsidRDefault="004355A6">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4355A6" w:rsidRDefault="004355A6">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4355A6" w:rsidRDefault="004355A6">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4355A6" w:rsidRDefault="004355A6">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4355A6" w:rsidRDefault="004355A6">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4355A6" w:rsidRDefault="004355A6">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5A6" w:rsidRDefault="004355A6">
      <w:pPr>
        <w:rPr>
          <w:sz w:val="16"/>
        </w:rPr>
      </w:pPr>
      <w:r>
        <w:separator/>
      </w:r>
    </w:p>
  </w:footnote>
  <w:footnote w:type="continuationSeparator" w:id="0">
    <w:p w:rsidR="004355A6" w:rsidRDefault="004355A6">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A6" w:rsidRPr="00F17738" w:rsidRDefault="004355A6" w:rsidP="00F65C50">
    <w:pPr>
      <w:pStyle w:val="Kopfzeile"/>
      <w:tabs>
        <w:tab w:val="clear" w:pos="9072"/>
        <w:tab w:val="right" w:pos="9639"/>
      </w:tabs>
      <w:spacing w:after="0" w:line="240" w:lineRule="auto"/>
      <w:rPr>
        <w:rFonts w:ascii="Verdana" w:hAnsi="Verdana"/>
        <w:sz w:val="20"/>
      </w:rPr>
    </w:pPr>
  </w:p>
  <w:p w:rsidR="004355A6" w:rsidRDefault="004355A6" w:rsidP="00F65C50">
    <w:pPr>
      <w:pStyle w:val="Kopfzeile"/>
      <w:tabs>
        <w:tab w:val="clear" w:pos="9072"/>
        <w:tab w:val="right" w:pos="9639"/>
      </w:tabs>
      <w:spacing w:after="0" w:line="240" w:lineRule="auto"/>
      <w:rPr>
        <w:rFonts w:ascii="Verdana" w:hAnsi="Verdana"/>
        <w:sz w:val="20"/>
      </w:rPr>
    </w:pPr>
  </w:p>
  <w:p w:rsidR="004355A6" w:rsidRPr="00F17738" w:rsidRDefault="004355A6" w:rsidP="00F65C50">
    <w:pPr>
      <w:pStyle w:val="Kopfzeile"/>
      <w:tabs>
        <w:tab w:val="clear" w:pos="9072"/>
        <w:tab w:val="right" w:pos="9639"/>
      </w:tabs>
      <w:spacing w:after="0" w:line="240" w:lineRule="auto"/>
      <w:rPr>
        <w:rFonts w:ascii="Verdana" w:hAnsi="Verdana"/>
        <w:sz w:val="20"/>
      </w:rPr>
    </w:pPr>
    <w:r>
      <w:rPr>
        <w:rFonts w:ascii="Times New Roman" w:hAnsi="Times New Roman"/>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6.45pt;margin-top:42.55pt;width:96.8pt;height:23.2pt;z-index:251658240;mso-position-horizontal-relative:page;mso-position-vertical-relative:page" o:allowoverlap="f">
          <v:imagedata r:id="rId1" o:title="LEONI Logo farbig"/>
          <w10:wrap anchorx="page" anchory="page"/>
          <w10:anchorlock/>
        </v:shape>
      </w:pict>
    </w:r>
  </w:p>
  <w:p w:rsidR="004355A6" w:rsidRDefault="004355A6" w:rsidP="00F65C50">
    <w:pPr>
      <w:spacing w:before="60" w:after="0" w:line="360" w:lineRule="auto"/>
      <w:ind w:right="1429"/>
      <w:rPr>
        <w:rFonts w:ascii="Arial" w:hAnsi="Arial" w:cs="Arial"/>
        <w:b/>
        <w:sz w:val="20"/>
        <w:szCs w:val="20"/>
      </w:rPr>
    </w:pPr>
  </w:p>
  <w:p w:rsidR="004355A6" w:rsidRDefault="004355A6" w:rsidP="00F65C50">
    <w:pPr>
      <w:spacing w:after="0"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4355A6" w:rsidRDefault="004355A6">
    <w:pPr>
      <w:pStyle w:val="Kopfzeile"/>
      <w:tabs>
        <w:tab w:val="clear" w:pos="9072"/>
        <w:tab w:val="right" w:pos="9639"/>
      </w:tabs>
      <w:rPr>
        <w:rFonts w:ascii="Verdana" w:hAnsi="Verdana"/>
        <w:sz w:val="20"/>
      </w:rPr>
    </w:pPr>
  </w:p>
  <w:p w:rsidR="004355A6" w:rsidRDefault="004355A6">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A6" w:rsidRDefault="004355A6">
    <w:pPr>
      <w:pStyle w:val="Kopfzeile"/>
      <w:ind w:right="12"/>
      <w:rPr>
        <w:rFonts w:ascii="Verdana" w:hAnsi="Verdana"/>
        <w:sz w:val="20"/>
      </w:rPr>
    </w:pPr>
  </w:p>
  <w:p w:rsidR="004355A6" w:rsidRDefault="004355A6">
    <w:pPr>
      <w:pStyle w:val="Kopfzeile"/>
      <w:ind w:right="12"/>
      <w:rPr>
        <w:rFonts w:ascii="Verdana" w:hAnsi="Verdana"/>
        <w:sz w:val="20"/>
      </w:rPr>
    </w:pPr>
  </w:p>
  <w:p w:rsidR="004355A6" w:rsidRDefault="004355A6">
    <w:pPr>
      <w:pStyle w:val="Kopfzeile"/>
      <w:ind w:right="12"/>
      <w:rPr>
        <w:rFonts w:ascii="Verdana" w:hAnsi="Verdana"/>
        <w:sz w:val="20"/>
      </w:rPr>
    </w:pPr>
  </w:p>
  <w:p w:rsidR="004355A6" w:rsidRDefault="004355A6">
    <w:pPr>
      <w:pStyle w:val="Kopfzeile"/>
      <w:ind w:right="12"/>
      <w:rPr>
        <w:rFonts w:ascii="Verdana" w:hAnsi="Verdana"/>
        <w:sz w:val="20"/>
      </w:rPr>
    </w:pPr>
  </w:p>
  <w:p w:rsidR="004355A6" w:rsidRDefault="004355A6">
    <w:pPr>
      <w:pStyle w:val="Kopfzeile"/>
      <w:ind w:right="12"/>
      <w:rPr>
        <w:rFonts w:ascii="Verdana" w:hAnsi="Verdana"/>
        <w:sz w:val="20"/>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4355A6" w:rsidRDefault="004355A6">
    <w:pPr>
      <w:pStyle w:val="Kopfzeile"/>
      <w:ind w:right="12"/>
      <w:rPr>
        <w:rFonts w:ascii="Verdana" w:hAnsi="Verdana"/>
        <w:sz w:val="20"/>
      </w:rPr>
    </w:pPr>
  </w:p>
  <w:p w:rsidR="004355A6" w:rsidRDefault="004355A6">
    <w:pPr>
      <w:pStyle w:val="Kopfzeile"/>
      <w:ind w:right="12"/>
      <w:rPr>
        <w:rFonts w:ascii="Verdana" w:hAnsi="Verdana"/>
        <w:sz w:val="20"/>
      </w:rPr>
    </w:pPr>
  </w:p>
  <w:p w:rsidR="004355A6" w:rsidRDefault="004355A6">
    <w:pPr>
      <w:pStyle w:val="Kopfzeile"/>
      <w:ind w:right="12"/>
      <w:rPr>
        <w:rFonts w:ascii="Verdana" w:hAnsi="Verdana"/>
        <w:sz w:val="20"/>
      </w:rPr>
    </w:pPr>
  </w:p>
  <w:p w:rsidR="004355A6" w:rsidRDefault="004355A6">
    <w:pPr>
      <w:pStyle w:val="Kopfzeile"/>
      <w:ind w:right="12"/>
      <w:rPr>
        <w:rFonts w:ascii="Verdana" w:hAnsi="Verdana"/>
        <w:sz w:val="20"/>
      </w:rPr>
    </w:pPr>
  </w:p>
  <w:p w:rsidR="004355A6" w:rsidRDefault="004355A6">
    <w:pPr>
      <w:pStyle w:val="Kopfzeile"/>
      <w:ind w:right="12"/>
      <w:rPr>
        <w:rFonts w:ascii="Verdana" w:hAnsi="Verdana"/>
        <w:sz w:val="20"/>
      </w:rPr>
    </w:pPr>
  </w:p>
  <w:p w:rsidR="004355A6" w:rsidRDefault="004355A6">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9E4"/>
    <w:rsid w:val="00013A64"/>
    <w:rsid w:val="0002408F"/>
    <w:rsid w:val="000255DA"/>
    <w:rsid w:val="00033C4D"/>
    <w:rsid w:val="00041290"/>
    <w:rsid w:val="000453F9"/>
    <w:rsid w:val="000A0822"/>
    <w:rsid w:val="000A32BC"/>
    <w:rsid w:val="000A7B89"/>
    <w:rsid w:val="000B3BF8"/>
    <w:rsid w:val="000B5865"/>
    <w:rsid w:val="000C02B1"/>
    <w:rsid w:val="000D0C90"/>
    <w:rsid w:val="000E6946"/>
    <w:rsid w:val="000F1C62"/>
    <w:rsid w:val="000F2DC6"/>
    <w:rsid w:val="000F73A0"/>
    <w:rsid w:val="00102158"/>
    <w:rsid w:val="00110484"/>
    <w:rsid w:val="00123771"/>
    <w:rsid w:val="00123B76"/>
    <w:rsid w:val="00130F82"/>
    <w:rsid w:val="00132B87"/>
    <w:rsid w:val="00134E77"/>
    <w:rsid w:val="001454B6"/>
    <w:rsid w:val="00152D54"/>
    <w:rsid w:val="00157C54"/>
    <w:rsid w:val="001717DC"/>
    <w:rsid w:val="00172DBF"/>
    <w:rsid w:val="001734DC"/>
    <w:rsid w:val="00184530"/>
    <w:rsid w:val="0018564D"/>
    <w:rsid w:val="001A26F1"/>
    <w:rsid w:val="001B22A1"/>
    <w:rsid w:val="001B621B"/>
    <w:rsid w:val="001C0CC3"/>
    <w:rsid w:val="001C4728"/>
    <w:rsid w:val="001C7543"/>
    <w:rsid w:val="001D1868"/>
    <w:rsid w:val="001D2CDB"/>
    <w:rsid w:val="00207FC6"/>
    <w:rsid w:val="00211D05"/>
    <w:rsid w:val="0023301E"/>
    <w:rsid w:val="00240866"/>
    <w:rsid w:val="00245C9E"/>
    <w:rsid w:val="00247B9B"/>
    <w:rsid w:val="00260A78"/>
    <w:rsid w:val="002630D8"/>
    <w:rsid w:val="002639C8"/>
    <w:rsid w:val="00264325"/>
    <w:rsid w:val="00267375"/>
    <w:rsid w:val="002956A9"/>
    <w:rsid w:val="0029603C"/>
    <w:rsid w:val="002B7AC7"/>
    <w:rsid w:val="002B7BFA"/>
    <w:rsid w:val="002C118D"/>
    <w:rsid w:val="003118F1"/>
    <w:rsid w:val="00333033"/>
    <w:rsid w:val="00361CF2"/>
    <w:rsid w:val="00362050"/>
    <w:rsid w:val="00364DCD"/>
    <w:rsid w:val="00382198"/>
    <w:rsid w:val="00397AC4"/>
    <w:rsid w:val="003A240E"/>
    <w:rsid w:val="003B0FC5"/>
    <w:rsid w:val="003C6AAE"/>
    <w:rsid w:val="003D2799"/>
    <w:rsid w:val="003E43B4"/>
    <w:rsid w:val="003E4B96"/>
    <w:rsid w:val="00404468"/>
    <w:rsid w:val="004044A6"/>
    <w:rsid w:val="004121DA"/>
    <w:rsid w:val="00424182"/>
    <w:rsid w:val="00432245"/>
    <w:rsid w:val="004355A6"/>
    <w:rsid w:val="00441963"/>
    <w:rsid w:val="00452CF6"/>
    <w:rsid w:val="004547BF"/>
    <w:rsid w:val="00473340"/>
    <w:rsid w:val="00473E7D"/>
    <w:rsid w:val="004746ED"/>
    <w:rsid w:val="004822A8"/>
    <w:rsid w:val="004826F0"/>
    <w:rsid w:val="004A0D77"/>
    <w:rsid w:val="004A1653"/>
    <w:rsid w:val="004A457B"/>
    <w:rsid w:val="004B0623"/>
    <w:rsid w:val="004B3DB8"/>
    <w:rsid w:val="004B4CC2"/>
    <w:rsid w:val="004D2FCB"/>
    <w:rsid w:val="004D41E6"/>
    <w:rsid w:val="004E29FC"/>
    <w:rsid w:val="004F038C"/>
    <w:rsid w:val="004F2266"/>
    <w:rsid w:val="004F7079"/>
    <w:rsid w:val="00500004"/>
    <w:rsid w:val="00500B29"/>
    <w:rsid w:val="005072AE"/>
    <w:rsid w:val="005147CE"/>
    <w:rsid w:val="00526F46"/>
    <w:rsid w:val="00533F65"/>
    <w:rsid w:val="00535C46"/>
    <w:rsid w:val="00543C34"/>
    <w:rsid w:val="005448AB"/>
    <w:rsid w:val="005A6BB8"/>
    <w:rsid w:val="005C5351"/>
    <w:rsid w:val="005D4C87"/>
    <w:rsid w:val="005D4FF6"/>
    <w:rsid w:val="005D550E"/>
    <w:rsid w:val="00600E53"/>
    <w:rsid w:val="00602FD7"/>
    <w:rsid w:val="00607852"/>
    <w:rsid w:val="00614A49"/>
    <w:rsid w:val="0061798D"/>
    <w:rsid w:val="00631FB1"/>
    <w:rsid w:val="006457CF"/>
    <w:rsid w:val="00654989"/>
    <w:rsid w:val="00663C2A"/>
    <w:rsid w:val="00683EF3"/>
    <w:rsid w:val="006A76CA"/>
    <w:rsid w:val="006C5546"/>
    <w:rsid w:val="006D36F9"/>
    <w:rsid w:val="006E0029"/>
    <w:rsid w:val="006F435B"/>
    <w:rsid w:val="006F4393"/>
    <w:rsid w:val="006F78FE"/>
    <w:rsid w:val="007043BB"/>
    <w:rsid w:val="00720539"/>
    <w:rsid w:val="00721853"/>
    <w:rsid w:val="00725A31"/>
    <w:rsid w:val="007420F8"/>
    <w:rsid w:val="00746CA7"/>
    <w:rsid w:val="00755EBD"/>
    <w:rsid w:val="00765E37"/>
    <w:rsid w:val="00773EC7"/>
    <w:rsid w:val="007747B6"/>
    <w:rsid w:val="00783A5E"/>
    <w:rsid w:val="007864F1"/>
    <w:rsid w:val="007A52EB"/>
    <w:rsid w:val="007C3759"/>
    <w:rsid w:val="007D7D60"/>
    <w:rsid w:val="007F3212"/>
    <w:rsid w:val="007F68CF"/>
    <w:rsid w:val="00803041"/>
    <w:rsid w:val="008045E1"/>
    <w:rsid w:val="00821BA4"/>
    <w:rsid w:val="0083522C"/>
    <w:rsid w:val="008446CD"/>
    <w:rsid w:val="008920B0"/>
    <w:rsid w:val="008A0985"/>
    <w:rsid w:val="008A1C0B"/>
    <w:rsid w:val="008A3A81"/>
    <w:rsid w:val="008B6597"/>
    <w:rsid w:val="008B7605"/>
    <w:rsid w:val="008D26BA"/>
    <w:rsid w:val="008D6717"/>
    <w:rsid w:val="008E7760"/>
    <w:rsid w:val="008F26DC"/>
    <w:rsid w:val="008F37D5"/>
    <w:rsid w:val="008F5F48"/>
    <w:rsid w:val="00906898"/>
    <w:rsid w:val="00936962"/>
    <w:rsid w:val="00965090"/>
    <w:rsid w:val="00967E91"/>
    <w:rsid w:val="009714B0"/>
    <w:rsid w:val="00977A5F"/>
    <w:rsid w:val="00977A87"/>
    <w:rsid w:val="0098775F"/>
    <w:rsid w:val="009A1070"/>
    <w:rsid w:val="009A1AEB"/>
    <w:rsid w:val="009B48FF"/>
    <w:rsid w:val="009B564D"/>
    <w:rsid w:val="009C6B13"/>
    <w:rsid w:val="009D4512"/>
    <w:rsid w:val="009D529B"/>
    <w:rsid w:val="009F6805"/>
    <w:rsid w:val="009F752B"/>
    <w:rsid w:val="00A12538"/>
    <w:rsid w:val="00A23768"/>
    <w:rsid w:val="00A27173"/>
    <w:rsid w:val="00A34AA7"/>
    <w:rsid w:val="00A54DDA"/>
    <w:rsid w:val="00A6060D"/>
    <w:rsid w:val="00A66992"/>
    <w:rsid w:val="00A708D7"/>
    <w:rsid w:val="00A7468A"/>
    <w:rsid w:val="00A76415"/>
    <w:rsid w:val="00AA16D7"/>
    <w:rsid w:val="00AA2A8D"/>
    <w:rsid w:val="00AC2AE0"/>
    <w:rsid w:val="00AC5497"/>
    <w:rsid w:val="00AC7A23"/>
    <w:rsid w:val="00AD3E26"/>
    <w:rsid w:val="00AD4A54"/>
    <w:rsid w:val="00AE31C1"/>
    <w:rsid w:val="00AE43B7"/>
    <w:rsid w:val="00AF0A61"/>
    <w:rsid w:val="00B1340F"/>
    <w:rsid w:val="00B139E4"/>
    <w:rsid w:val="00B24E61"/>
    <w:rsid w:val="00B3540F"/>
    <w:rsid w:val="00B43D1D"/>
    <w:rsid w:val="00B44D5B"/>
    <w:rsid w:val="00B45E40"/>
    <w:rsid w:val="00B466F2"/>
    <w:rsid w:val="00B572CD"/>
    <w:rsid w:val="00B572D2"/>
    <w:rsid w:val="00B67561"/>
    <w:rsid w:val="00B70B1A"/>
    <w:rsid w:val="00B71C6F"/>
    <w:rsid w:val="00B86027"/>
    <w:rsid w:val="00B96DE2"/>
    <w:rsid w:val="00BA0052"/>
    <w:rsid w:val="00BB1A73"/>
    <w:rsid w:val="00BB4148"/>
    <w:rsid w:val="00BB69CA"/>
    <w:rsid w:val="00BC37D4"/>
    <w:rsid w:val="00BC5FE7"/>
    <w:rsid w:val="00BD22AC"/>
    <w:rsid w:val="00BD2643"/>
    <w:rsid w:val="00BD26C1"/>
    <w:rsid w:val="00BD4058"/>
    <w:rsid w:val="00BD6804"/>
    <w:rsid w:val="00BF5681"/>
    <w:rsid w:val="00BF7DEC"/>
    <w:rsid w:val="00C03D20"/>
    <w:rsid w:val="00C108BC"/>
    <w:rsid w:val="00C10BF9"/>
    <w:rsid w:val="00C11645"/>
    <w:rsid w:val="00C1516A"/>
    <w:rsid w:val="00C423BA"/>
    <w:rsid w:val="00C4636C"/>
    <w:rsid w:val="00C6770A"/>
    <w:rsid w:val="00C81771"/>
    <w:rsid w:val="00C85271"/>
    <w:rsid w:val="00C900A9"/>
    <w:rsid w:val="00C94DCD"/>
    <w:rsid w:val="00C96EBA"/>
    <w:rsid w:val="00CA481B"/>
    <w:rsid w:val="00CA4B57"/>
    <w:rsid w:val="00CC7086"/>
    <w:rsid w:val="00CD5098"/>
    <w:rsid w:val="00CD57A4"/>
    <w:rsid w:val="00CF3A29"/>
    <w:rsid w:val="00CF5A3C"/>
    <w:rsid w:val="00D00981"/>
    <w:rsid w:val="00D04407"/>
    <w:rsid w:val="00D1225B"/>
    <w:rsid w:val="00D15735"/>
    <w:rsid w:val="00D22ED7"/>
    <w:rsid w:val="00D31113"/>
    <w:rsid w:val="00D413F1"/>
    <w:rsid w:val="00D651EC"/>
    <w:rsid w:val="00D65513"/>
    <w:rsid w:val="00D738A7"/>
    <w:rsid w:val="00D74838"/>
    <w:rsid w:val="00D80DBE"/>
    <w:rsid w:val="00D903E2"/>
    <w:rsid w:val="00D90D76"/>
    <w:rsid w:val="00D92309"/>
    <w:rsid w:val="00DA49A1"/>
    <w:rsid w:val="00DB2E93"/>
    <w:rsid w:val="00DD5149"/>
    <w:rsid w:val="00DD67C1"/>
    <w:rsid w:val="00DE2EA8"/>
    <w:rsid w:val="00DF6351"/>
    <w:rsid w:val="00E01673"/>
    <w:rsid w:val="00E02B7A"/>
    <w:rsid w:val="00E2445B"/>
    <w:rsid w:val="00E255EE"/>
    <w:rsid w:val="00E26E57"/>
    <w:rsid w:val="00E26F48"/>
    <w:rsid w:val="00E33130"/>
    <w:rsid w:val="00E358C1"/>
    <w:rsid w:val="00E45475"/>
    <w:rsid w:val="00E53F23"/>
    <w:rsid w:val="00E76BA0"/>
    <w:rsid w:val="00E83C80"/>
    <w:rsid w:val="00E93051"/>
    <w:rsid w:val="00E95E47"/>
    <w:rsid w:val="00EB09C0"/>
    <w:rsid w:val="00EB5A8C"/>
    <w:rsid w:val="00EB717D"/>
    <w:rsid w:val="00EC0A0C"/>
    <w:rsid w:val="00EC0E74"/>
    <w:rsid w:val="00EC6520"/>
    <w:rsid w:val="00ED1040"/>
    <w:rsid w:val="00ED47BD"/>
    <w:rsid w:val="00EE3329"/>
    <w:rsid w:val="00EE7541"/>
    <w:rsid w:val="00EF2DA5"/>
    <w:rsid w:val="00F21EA0"/>
    <w:rsid w:val="00F37865"/>
    <w:rsid w:val="00F65C50"/>
    <w:rsid w:val="00F67138"/>
    <w:rsid w:val="00F737A1"/>
    <w:rsid w:val="00F73C92"/>
    <w:rsid w:val="00F77219"/>
    <w:rsid w:val="00F80249"/>
    <w:rsid w:val="00F851F7"/>
    <w:rsid w:val="00F90257"/>
    <w:rsid w:val="00F91FB0"/>
    <w:rsid w:val="00F955C9"/>
    <w:rsid w:val="00FA0E12"/>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3F23"/>
    <w:pPr>
      <w:spacing w:after="200" w:line="276" w:lineRule="auto"/>
    </w:pPr>
    <w:rPr>
      <w:sz w:val="22"/>
      <w:szCs w:val="22"/>
    </w:rPr>
  </w:style>
  <w:style w:type="paragraph" w:styleId="berschrift1">
    <w:name w:val="heading 1"/>
    <w:aliases w:val="F1: Hauptüberschrift"/>
    <w:basedOn w:val="Standard"/>
    <w:next w:val="Standard"/>
    <w:link w:val="berschrift1Zchn"/>
    <w:uiPriority w:val="9"/>
    <w:qFormat/>
    <w:rsid w:val="00E53F2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berschrift1"/>
    <w:next w:val="Standard"/>
    <w:link w:val="berschrift2Zchn"/>
    <w:uiPriority w:val="9"/>
    <w:semiHidden/>
    <w:unhideWhenUsed/>
    <w:qFormat/>
    <w:pPr>
      <w:spacing w:before="200"/>
      <w:outlineLvl w:val="1"/>
    </w:pPr>
    <w:rPr>
      <w:color w:val="4F81BD"/>
      <w:sz w:val="26"/>
      <w:szCs w:val="26"/>
    </w:rPr>
  </w:style>
  <w:style w:type="paragraph" w:styleId="berschrift3">
    <w:name w:val="heading 3"/>
    <w:basedOn w:val="Standard"/>
    <w:next w:val="Standard"/>
    <w:uiPriority w:val="9"/>
    <w:semiHidden/>
    <w:unhideWhenUsed/>
    <w:qFormat/>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cs="Times New Roman"/>
      <w:b/>
      <w:color w:val="112E6B"/>
      <w:sz w:val="22"/>
      <w:szCs w:val="22"/>
      <w:lang w:val="de-DE" w:bidi="ar-SA"/>
    </w:rPr>
  </w:style>
  <w:style w:type="character" w:customStyle="1" w:styleId="F1Hauptberschrift1Zchn">
    <w:name w:val="F1: Hauptüberschrift1 Zchn"/>
    <w:locked/>
    <w:rPr>
      <w:rFonts w:ascii="Verdana" w:hAnsi="Verdana" w:cs="Times New Roman"/>
      <w:b/>
      <w:color w:val="112E6B"/>
      <w:sz w:val="22"/>
      <w:szCs w:val="22"/>
      <w:lang w:val="de-DE" w:bidi="ar-SA"/>
    </w:rPr>
  </w:style>
  <w:style w:type="character" w:customStyle="1" w:styleId="ZchnZchn">
    <w:name w:val="Zchn Zchn"/>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pPr>
      <w:spacing w:after="120"/>
      <w:ind w:right="1429"/>
    </w:pPr>
    <w:rPr>
      <w:bCs w:val="0"/>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rsid w:val="00E53F23"/>
    <w:pPr>
      <w:keepNext w:val="0"/>
      <w:keepLines w:val="0"/>
      <w:spacing w:before="0" w:line="360" w:lineRule="auto"/>
      <w:ind w:right="1922"/>
    </w:pPr>
    <w:rPr>
      <w:rFonts w:ascii="Arial" w:hAnsi="Arial"/>
      <w:color w:val="112E6B"/>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Standard"/>
    <w:autoRedefine/>
    <w:qFormat/>
    <w:rsid w:val="00333033"/>
    <w:pPr>
      <w:spacing w:after="120" w:line="360" w:lineRule="auto"/>
      <w:ind w:right="1922"/>
      <w:jc w:val="both"/>
      <w:outlineLvl w:val="2"/>
    </w:pPr>
    <w:rPr>
      <w:rFonts w:ascii="Arial" w:eastAsia="Times New Roman" w:hAnsi="Arial" w:cs="Arial"/>
      <w:b/>
      <w:bCs/>
      <w:lang w:val="en-US"/>
    </w:rPr>
  </w:style>
  <w:style w:type="paragraph" w:customStyle="1" w:styleId="MMU2">
    <w:name w:val="MM U2"/>
    <w:basedOn w:val="berschrift1"/>
    <w:next w:val="MMVorspann"/>
    <w:autoRedefine/>
    <w:qFormat/>
    <w:rsid w:val="00F65C50"/>
    <w:pPr>
      <w:keepNext w:val="0"/>
      <w:keepLines w:val="0"/>
      <w:spacing w:before="0" w:after="360" w:line="360" w:lineRule="auto"/>
      <w:ind w:right="1922"/>
    </w:pPr>
    <w:rPr>
      <w:rFonts w:ascii="Arial" w:hAnsi="Arial" w:cs="Arial"/>
      <w:b w:val="0"/>
      <w:bCs w:val="0"/>
      <w:color w:val="auto"/>
      <w:sz w:val="24"/>
      <w:szCs w:val="24"/>
      <w:lang w:val="en-GB"/>
    </w:rPr>
  </w:style>
  <w:style w:type="paragraph" w:customStyle="1" w:styleId="MMFlietext">
    <w:name w:val="MM Fließtext"/>
    <w:basedOn w:val="Standard"/>
    <w:autoRedefine/>
    <w:qFormat/>
    <w:rsid w:val="00E53F23"/>
    <w:pPr>
      <w:spacing w:after="120" w:line="360" w:lineRule="auto"/>
      <w:ind w:right="1922"/>
      <w:jc w:val="both"/>
    </w:pPr>
    <w:rPr>
      <w:rFonts w:ascii="Arial" w:hAnsi="Arial" w:cs="Arial"/>
    </w:rPr>
  </w:style>
  <w:style w:type="paragraph" w:customStyle="1" w:styleId="MMKurzprofil">
    <w:name w:val="MM Kurzprofil"/>
    <w:basedOn w:val="Standard"/>
    <w:link w:val="MMKurzprofilZchn"/>
    <w:autoRedefine/>
    <w:qFormat/>
    <w:rsid w:val="00E53F23"/>
    <w:pPr>
      <w:tabs>
        <w:tab w:val="left" w:pos="8505"/>
      </w:tabs>
      <w:spacing w:after="0" w:line="240" w:lineRule="auto"/>
      <w:ind w:right="1922"/>
    </w:pPr>
    <w:rPr>
      <w:rFonts w:ascii="Arial" w:hAnsi="Arial" w:cs="Arial"/>
      <w:color w:val="000000"/>
      <w:sz w:val="20"/>
      <w:szCs w:val="20"/>
    </w:rPr>
  </w:style>
  <w:style w:type="paragraph" w:customStyle="1" w:styleId="MMKurzprofilberschrift">
    <w:name w:val="MM Kurzprofil Überschrift"/>
    <w:basedOn w:val="Standard"/>
    <w:autoRedefine/>
    <w:qFormat/>
    <w:rsid w:val="00E53F23"/>
    <w:pPr>
      <w:spacing w:before="480" w:after="0" w:line="360" w:lineRule="auto"/>
      <w:ind w:right="1922"/>
    </w:pPr>
    <w:rPr>
      <w:rFonts w:ascii="Arial" w:hAnsi="Arial" w:cs="Arial"/>
      <w:b/>
      <w:color w:val="112E6B"/>
      <w:sz w:val="20"/>
      <w:szCs w:val="20"/>
    </w:rPr>
  </w:style>
  <w:style w:type="paragraph" w:customStyle="1" w:styleId="MMZwischenberschrift">
    <w:name w:val="MM Zwischenüberschrift"/>
    <w:basedOn w:val="Standard"/>
    <w:autoRedefine/>
    <w:qFormat/>
    <w:rsid w:val="00E53F23"/>
    <w:pPr>
      <w:tabs>
        <w:tab w:val="left" w:pos="8505"/>
      </w:tabs>
      <w:spacing w:after="0" w:line="360" w:lineRule="auto"/>
      <w:ind w:right="1922"/>
    </w:pPr>
    <w:rPr>
      <w:rFonts w:ascii="Arial" w:hAnsi="Arial" w:cs="Arial"/>
      <w: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berschrift2Zchn">
    <w:name w:val="Überschrift 2 Zchn"/>
    <w:link w:val="berschrift2"/>
    <w:uiPriority w:val="9"/>
    <w:semiHidden/>
    <w:rsid w:val="00C85271"/>
    <w:rPr>
      <w:rFonts w:ascii="Cambria" w:eastAsia="Times New Roman" w:hAnsi="Cambria" w:cs="Times New Roman"/>
      <w:b/>
      <w:bCs/>
      <w:color w:val="4F81BD"/>
      <w:sz w:val="26"/>
      <w:szCs w:val="26"/>
    </w:rPr>
  </w:style>
  <w:style w:type="character" w:customStyle="1" w:styleId="berschrift1Zchn">
    <w:name w:val="Überschrift 1 Zchn"/>
    <w:aliases w:val="F1: Hauptüberschrift Zchn"/>
    <w:link w:val="berschrift1"/>
    <w:uiPriority w:val="9"/>
    <w:rsid w:val="00E53F23"/>
    <w:rPr>
      <w:rFonts w:ascii="Cambria" w:eastAsia="Times New Roman" w:hAnsi="Cambria" w:cs="Times New Roman"/>
      <w:b/>
      <w:bCs/>
      <w:color w:val="365F91"/>
      <w:sz w:val="28"/>
      <w:szCs w:val="28"/>
    </w:rPr>
  </w:style>
  <w:style w:type="character" w:customStyle="1" w:styleId="KopfzeileZchn">
    <w:name w:val="Kopfzeile Zchn"/>
    <w:link w:val="Kopfzeile"/>
    <w:rsid w:val="00F65C50"/>
    <w:rPr>
      <w:sz w:val="22"/>
      <w:szCs w:val="22"/>
    </w:rPr>
  </w:style>
  <w:style w:type="character" w:customStyle="1" w:styleId="MMKurzprofilZchn">
    <w:name w:val="MM Kurzprofil Zchn"/>
    <w:basedOn w:val="Absatz-Standardschriftart"/>
    <w:link w:val="MMKurzprofil"/>
    <w:rsid w:val="00B572CD"/>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leoni.com" TargetMode="External"/><Relationship Id="rId13" Type="http://schemas.openxmlformats.org/officeDocument/2006/relationships/image" Target="media/image2.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xing.com/companies/leonia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pages/LEONI-Group-official-profile/19314662739175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oni.com/?q2-2012&amp;L=1" TargetMode="External"/><Relationship Id="rId14" Type="http://schemas.openxmlformats.org/officeDocument/2006/relationships/hyperlink" Target="mailto:presse@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7069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8175</CharactersWithSpaces>
  <SharedDoc>false</SharedDoc>
  <HLinks>
    <vt:vector size="30" baseType="variant">
      <vt:variant>
        <vt:i4>917543</vt:i4>
      </vt:variant>
      <vt:variant>
        <vt:i4>18</vt:i4>
      </vt:variant>
      <vt:variant>
        <vt:i4>0</vt:i4>
      </vt:variant>
      <vt:variant>
        <vt:i4>5</vt:i4>
      </vt:variant>
      <vt:variant>
        <vt:lpwstr>mailto:presse@leoni.com</vt:lpwstr>
      </vt:variant>
      <vt:variant>
        <vt:lpwstr/>
      </vt:variant>
      <vt:variant>
        <vt:i4>3145833</vt:i4>
      </vt:variant>
      <vt:variant>
        <vt:i4>12</vt:i4>
      </vt:variant>
      <vt:variant>
        <vt:i4>0</vt:i4>
      </vt:variant>
      <vt:variant>
        <vt:i4>5</vt:i4>
      </vt:variant>
      <vt:variant>
        <vt:lpwstr>https://www.xing.com/companies/leoniag</vt:lpwstr>
      </vt:variant>
      <vt:variant>
        <vt:lpwstr/>
      </vt:variant>
      <vt:variant>
        <vt:i4>8257634</vt:i4>
      </vt:variant>
      <vt:variant>
        <vt:i4>6</vt:i4>
      </vt:variant>
      <vt:variant>
        <vt:i4>0</vt:i4>
      </vt:variant>
      <vt:variant>
        <vt:i4>5</vt:i4>
      </vt:variant>
      <vt:variant>
        <vt:lpwstr>http://www.facebook.com/pages/LEONI-Group-official-profile/193146627391754</vt:lpwstr>
      </vt:variant>
      <vt:variant>
        <vt:lpwstr/>
      </vt:variant>
      <vt:variant>
        <vt:i4>5963780</vt:i4>
      </vt:variant>
      <vt:variant>
        <vt:i4>3</vt:i4>
      </vt:variant>
      <vt:variant>
        <vt:i4>0</vt:i4>
      </vt:variant>
      <vt:variant>
        <vt:i4>5</vt:i4>
      </vt:variant>
      <vt:variant>
        <vt:lpwstr>http://www.leoni.com/?q3-2011&amp;L=1</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3</cp:revision>
  <cp:lastPrinted>2011-03-16T09:24:00Z</cp:lastPrinted>
  <dcterms:created xsi:type="dcterms:W3CDTF">2012-08-06T07:17:00Z</dcterms:created>
  <dcterms:modified xsi:type="dcterms:W3CDTF">2012-08-06T08:24:00Z</dcterms:modified>
</cp:coreProperties>
</file>