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F52F39" w:rsidRDefault="00E436DA" w:rsidP="00D47FA5">
      <w:pPr>
        <w:pStyle w:val="MMU1"/>
      </w:pPr>
      <w:r w:rsidRPr="00F52F39">
        <w:t>Leoni</w:t>
      </w:r>
      <w:r w:rsidR="00C870B8">
        <w:t xml:space="preserve"> steigert </w:t>
      </w:r>
      <w:r w:rsidR="00076D79">
        <w:t>E</w:t>
      </w:r>
      <w:r w:rsidR="008A060A">
        <w:t>rlöse</w:t>
      </w:r>
      <w:r w:rsidR="00C870B8">
        <w:t xml:space="preserve"> bis Ende September 2012 um 5 Prozent</w:t>
      </w:r>
    </w:p>
    <w:p w:rsidR="00E17C54" w:rsidRPr="00F52F39" w:rsidRDefault="00076D79" w:rsidP="006F0BE8">
      <w:pPr>
        <w:pStyle w:val="MMU2"/>
      </w:pPr>
      <w:r>
        <w:t>Für das Gesamtjahr Umsatz und Ergebnis auf Vorjahresniveau erwartet</w:t>
      </w:r>
      <w:r w:rsidR="00E832F4">
        <w:t xml:space="preserve">  </w:t>
      </w:r>
    </w:p>
    <w:p w:rsidR="00526250" w:rsidRPr="008F1B66" w:rsidRDefault="008B1883" w:rsidP="00526250">
      <w:pPr>
        <w:pStyle w:val="MMVorspann"/>
        <w:rPr>
          <w:b/>
        </w:rPr>
      </w:pPr>
      <w:r w:rsidRPr="008F1B66">
        <w:rPr>
          <w:b/>
        </w:rPr>
        <w:t xml:space="preserve">Nürnberg, </w:t>
      </w:r>
      <w:r w:rsidR="00AF125E" w:rsidRPr="008F1B66">
        <w:rPr>
          <w:b/>
        </w:rPr>
        <w:t xml:space="preserve">13. November </w:t>
      </w:r>
      <w:r w:rsidRPr="008F1B66">
        <w:rPr>
          <w:b/>
        </w:rPr>
        <w:t>201</w:t>
      </w:r>
      <w:r w:rsidR="005E0BBB" w:rsidRPr="008F1B66">
        <w:rPr>
          <w:b/>
        </w:rPr>
        <w:t>2</w:t>
      </w:r>
      <w:r w:rsidRPr="008F1B66">
        <w:rPr>
          <w:b/>
        </w:rPr>
        <w:t xml:space="preserve"> – Leoni, der führende Anbieter von Kabeln und Kabelsystemen für die Automobilbranche und weitere Industrien, </w:t>
      </w:r>
      <w:r w:rsidR="00E73ABC" w:rsidRPr="008F1B66">
        <w:rPr>
          <w:b/>
        </w:rPr>
        <w:t xml:space="preserve">steigerte </w:t>
      </w:r>
      <w:r w:rsidR="00FF44C5" w:rsidRPr="008F1B66">
        <w:rPr>
          <w:b/>
        </w:rPr>
        <w:t xml:space="preserve">den Konzernumsatz im </w:t>
      </w:r>
      <w:r w:rsidR="00E73ABC" w:rsidRPr="008F1B66">
        <w:rPr>
          <w:b/>
        </w:rPr>
        <w:t xml:space="preserve">dritten Quartal 2012 gegenüber dem vergleichbaren Vorjahreszeitraum um </w:t>
      </w:r>
      <w:r w:rsidR="0040363A">
        <w:rPr>
          <w:b/>
        </w:rPr>
        <w:t>knapp</w:t>
      </w:r>
      <w:r w:rsidR="00E73ABC" w:rsidRPr="008F1B66">
        <w:rPr>
          <w:b/>
        </w:rPr>
        <w:t xml:space="preserve"> 5 Prozent auf 954,7 Mio. </w:t>
      </w:r>
      <w:r w:rsidR="00AE46A1">
        <w:rPr>
          <w:b/>
        </w:rPr>
        <w:t>Euro</w:t>
      </w:r>
      <w:r w:rsidR="00E73ABC" w:rsidRPr="008F1B66">
        <w:rPr>
          <w:b/>
        </w:rPr>
        <w:t xml:space="preserve"> </w:t>
      </w:r>
      <w:r w:rsidR="00633AFC" w:rsidRPr="008F1B66">
        <w:rPr>
          <w:b/>
        </w:rPr>
        <w:t xml:space="preserve">(Vorjahr: </w:t>
      </w:r>
      <w:r w:rsidR="00E73ABC" w:rsidRPr="008F1B66">
        <w:rPr>
          <w:b/>
        </w:rPr>
        <w:t>913,1</w:t>
      </w:r>
      <w:r w:rsidR="00633AFC" w:rsidRPr="008F1B66">
        <w:rPr>
          <w:b/>
        </w:rPr>
        <w:t xml:space="preserve"> Mio. Euro). </w:t>
      </w:r>
      <w:r w:rsidR="00E73ABC" w:rsidRPr="008F1B66">
        <w:rPr>
          <w:b/>
        </w:rPr>
        <w:t xml:space="preserve">Von Januar bis September 2012 </w:t>
      </w:r>
      <w:r w:rsidR="00C870B8">
        <w:rPr>
          <w:b/>
        </w:rPr>
        <w:t>erhöhte sich</w:t>
      </w:r>
      <w:r w:rsidR="00E73ABC" w:rsidRPr="008F1B66">
        <w:rPr>
          <w:b/>
        </w:rPr>
        <w:t xml:space="preserve"> das Geschäftsvolumen ebenfalls um rund 5 Prozent </w:t>
      </w:r>
      <w:r w:rsidR="00CD72EF" w:rsidRPr="008F1B66">
        <w:rPr>
          <w:b/>
        </w:rPr>
        <w:t>oder 12</w:t>
      </w:r>
      <w:r w:rsidR="00B93E3D">
        <w:rPr>
          <w:b/>
        </w:rPr>
        <w:t>4</w:t>
      </w:r>
      <w:r w:rsidR="00CD72EF" w:rsidRPr="008F1B66">
        <w:rPr>
          <w:b/>
        </w:rPr>
        <w:t xml:space="preserve">,0 Mio. </w:t>
      </w:r>
      <w:r w:rsidR="00AE46A1">
        <w:rPr>
          <w:b/>
        </w:rPr>
        <w:t>Euro</w:t>
      </w:r>
      <w:r w:rsidR="00CD72EF" w:rsidRPr="008F1B66">
        <w:rPr>
          <w:b/>
        </w:rPr>
        <w:t xml:space="preserve"> </w:t>
      </w:r>
      <w:r w:rsidR="00E73ABC" w:rsidRPr="008F1B66">
        <w:rPr>
          <w:b/>
        </w:rPr>
        <w:t xml:space="preserve">auf 2.891,4 Mio. </w:t>
      </w:r>
      <w:r w:rsidR="00AE46A1">
        <w:rPr>
          <w:b/>
        </w:rPr>
        <w:t>Euro</w:t>
      </w:r>
      <w:r w:rsidR="00E73ABC" w:rsidRPr="008F1B66">
        <w:rPr>
          <w:b/>
        </w:rPr>
        <w:t xml:space="preserve"> (Vorjahr: 2.767,4 Mio. </w:t>
      </w:r>
      <w:r w:rsidR="00AE46A1">
        <w:rPr>
          <w:b/>
        </w:rPr>
        <w:t>Euro</w:t>
      </w:r>
      <w:r w:rsidR="00E73ABC" w:rsidRPr="008F1B66">
        <w:rPr>
          <w:b/>
        </w:rPr>
        <w:t xml:space="preserve">). </w:t>
      </w:r>
      <w:r w:rsidR="00C870B8">
        <w:rPr>
          <w:b/>
        </w:rPr>
        <w:t xml:space="preserve">Aus eigener Kraft wuchs Leoni um </w:t>
      </w:r>
      <w:r w:rsidR="00CD72EF" w:rsidRPr="008F1B66">
        <w:rPr>
          <w:b/>
        </w:rPr>
        <w:t xml:space="preserve">87,3 Mio. </w:t>
      </w:r>
      <w:r w:rsidR="00AE46A1">
        <w:rPr>
          <w:b/>
        </w:rPr>
        <w:t>Euro</w:t>
      </w:r>
      <w:r w:rsidR="00CD72EF" w:rsidRPr="008F1B66">
        <w:rPr>
          <w:b/>
        </w:rPr>
        <w:t xml:space="preserve">, vor allem durch die bis zum Stichtag starke Nachfrage der Automobilindustrie in den USA und Asien. Der </w:t>
      </w:r>
      <w:r w:rsidR="00150584" w:rsidRPr="008F1B66">
        <w:rPr>
          <w:b/>
        </w:rPr>
        <w:t xml:space="preserve">Anfang </w:t>
      </w:r>
      <w:r w:rsidR="009D63B9" w:rsidRPr="008F1B66">
        <w:rPr>
          <w:b/>
        </w:rPr>
        <w:t>2012</w:t>
      </w:r>
      <w:r w:rsidR="00150584" w:rsidRPr="008F1B66">
        <w:rPr>
          <w:b/>
        </w:rPr>
        <w:t xml:space="preserve"> komplett übernommene südkoreanische Bordnetz-Hersteller </w:t>
      </w:r>
      <w:r w:rsidR="00633AFC" w:rsidRPr="008F1B66">
        <w:rPr>
          <w:b/>
        </w:rPr>
        <w:t>Daekyeung</w:t>
      </w:r>
      <w:r w:rsidR="00CD72EF" w:rsidRPr="008F1B66">
        <w:rPr>
          <w:b/>
        </w:rPr>
        <w:t xml:space="preserve"> (</w:t>
      </w:r>
      <w:r w:rsidR="005C134C">
        <w:rPr>
          <w:b/>
        </w:rPr>
        <w:t xml:space="preserve">inzwischen Leoni </w:t>
      </w:r>
      <w:proofErr w:type="spellStart"/>
      <w:r w:rsidR="005C134C">
        <w:rPr>
          <w:b/>
        </w:rPr>
        <w:t>Wiring</w:t>
      </w:r>
      <w:proofErr w:type="spellEnd"/>
      <w:r w:rsidR="005C134C">
        <w:rPr>
          <w:b/>
        </w:rPr>
        <w:t xml:space="preserve"> Systems Korea)</w:t>
      </w:r>
      <w:r w:rsidR="00CD72EF" w:rsidRPr="008F1B66">
        <w:rPr>
          <w:b/>
        </w:rPr>
        <w:t xml:space="preserve"> steuerte 86,1 Mio. </w:t>
      </w:r>
      <w:r w:rsidR="00AE46A1">
        <w:rPr>
          <w:b/>
        </w:rPr>
        <w:t>Euro</w:t>
      </w:r>
      <w:r w:rsidR="00CD72EF" w:rsidRPr="008F1B66">
        <w:rPr>
          <w:b/>
        </w:rPr>
        <w:t xml:space="preserve"> bei. Dagegen </w:t>
      </w:r>
      <w:r w:rsidR="00526250" w:rsidRPr="008F1B66">
        <w:rPr>
          <w:b/>
        </w:rPr>
        <w:t xml:space="preserve">führte der im Vergleich zum Vorjahr niedrigere Kupferpreis zu </w:t>
      </w:r>
      <w:r w:rsidR="00CD72EF" w:rsidRPr="008F1B66">
        <w:rPr>
          <w:b/>
        </w:rPr>
        <w:t>ein</w:t>
      </w:r>
      <w:r w:rsidR="00526250" w:rsidRPr="008F1B66">
        <w:rPr>
          <w:b/>
        </w:rPr>
        <w:t>em</w:t>
      </w:r>
      <w:r w:rsidR="00CD72EF" w:rsidRPr="008F1B66">
        <w:rPr>
          <w:b/>
        </w:rPr>
        <w:t xml:space="preserve"> negative</w:t>
      </w:r>
      <w:r w:rsidR="00526250" w:rsidRPr="008F1B66">
        <w:rPr>
          <w:b/>
        </w:rPr>
        <w:t>n</w:t>
      </w:r>
      <w:r w:rsidR="00AE46A1">
        <w:rPr>
          <w:b/>
        </w:rPr>
        <w:t xml:space="preserve"> Effekt von 49,4 Mio. Euro</w:t>
      </w:r>
      <w:r w:rsidR="00526250" w:rsidRPr="008F1B66">
        <w:rPr>
          <w:b/>
        </w:rPr>
        <w:t>.</w:t>
      </w:r>
    </w:p>
    <w:p w:rsidR="00CD72EF" w:rsidRPr="00526250" w:rsidRDefault="00526250" w:rsidP="00526250">
      <w:pPr>
        <w:pStyle w:val="MMVorspann"/>
      </w:pPr>
      <w:r w:rsidRPr="00526250">
        <w:t xml:space="preserve">Das Konzern-EBIT (Ergebnis vor Zinsen und Steuern) lag im dritten Quartal 2012 bei 52,7 Mio. </w:t>
      </w:r>
      <w:r w:rsidR="00AE46A1">
        <w:t>Euro</w:t>
      </w:r>
      <w:r w:rsidRPr="00526250">
        <w:t xml:space="preserve"> (Vorjahr: 54,6 Mio. </w:t>
      </w:r>
      <w:r w:rsidR="00AE46A1">
        <w:t>Euro</w:t>
      </w:r>
      <w:r w:rsidRPr="00526250">
        <w:t>)</w:t>
      </w:r>
      <w:r w:rsidR="00E832F4">
        <w:t>. I</w:t>
      </w:r>
      <w:r w:rsidRPr="00526250">
        <w:t>n den ersten neun Mona</w:t>
      </w:r>
      <w:r w:rsidR="00E832F4">
        <w:t>ten insgesamt stieg das EBIT auf</w:t>
      </w:r>
      <w:r w:rsidRPr="00526250">
        <w:t xml:space="preserve"> 197,2 Mio. </w:t>
      </w:r>
      <w:r w:rsidR="00AE46A1">
        <w:t>Euro</w:t>
      </w:r>
      <w:r w:rsidRPr="00526250">
        <w:t xml:space="preserve"> (Vorjahr: 183,6 Mio. </w:t>
      </w:r>
      <w:r w:rsidR="00AE46A1">
        <w:t>Euro</w:t>
      </w:r>
      <w:r w:rsidRPr="00526250">
        <w:t>)</w:t>
      </w:r>
      <w:r w:rsidR="00456625">
        <w:t>; d</w:t>
      </w:r>
      <w:r>
        <w:t xml:space="preserve">arin ist ein positiver Sondereffekt von 28,3 Mio. </w:t>
      </w:r>
      <w:r w:rsidR="00AE46A1">
        <w:t>Euro</w:t>
      </w:r>
      <w:r>
        <w:t xml:space="preserve"> aus dem im März erfolgten Verkauf der L</w:t>
      </w:r>
      <w:r w:rsidR="00797643">
        <w:t>eoni</w:t>
      </w:r>
      <w:r>
        <w:t xml:space="preserve"> Studer Hard AG enthalten. </w:t>
      </w:r>
    </w:p>
    <w:p w:rsidR="00150584" w:rsidRPr="009B0C1A" w:rsidRDefault="00131EA6" w:rsidP="00966A4E">
      <w:pPr>
        <w:pStyle w:val="MMZwischenberschrift"/>
      </w:pPr>
      <w:r>
        <w:t xml:space="preserve">WSD: </w:t>
      </w:r>
      <w:r w:rsidR="00150584" w:rsidRPr="009B0C1A">
        <w:t>1</w:t>
      </w:r>
      <w:r w:rsidR="00E832F4">
        <w:t>2</w:t>
      </w:r>
      <w:r w:rsidR="00150584" w:rsidRPr="009B0C1A">
        <w:t xml:space="preserve"> Prozent</w:t>
      </w:r>
      <w:r w:rsidR="00AE46A1">
        <w:t xml:space="preserve"> Umsatzplus im Bordnetz-Geschäft</w:t>
      </w:r>
      <w:r w:rsidR="00456625">
        <w:t xml:space="preserve"> nach 9 Monaten</w:t>
      </w:r>
    </w:p>
    <w:p w:rsidR="003C2A31" w:rsidRDefault="008F1B66" w:rsidP="00526250">
      <w:pPr>
        <w:pStyle w:val="MMVorspann"/>
      </w:pPr>
      <w:r>
        <w:t>Im</w:t>
      </w:r>
      <w:r w:rsidR="00150584">
        <w:t xml:space="preserve"> Unternehmensbereich </w:t>
      </w:r>
      <w:proofErr w:type="spellStart"/>
      <w:r w:rsidR="00150584">
        <w:t>Wiring</w:t>
      </w:r>
      <w:proofErr w:type="spellEnd"/>
      <w:r w:rsidR="00150584">
        <w:t xml:space="preserve"> Systems </w:t>
      </w:r>
      <w:r w:rsidR="00131EA6">
        <w:t xml:space="preserve">(WSD) </w:t>
      </w:r>
      <w:r w:rsidR="00171FD9">
        <w:t xml:space="preserve">erhöhte sich </w:t>
      </w:r>
      <w:r>
        <w:t xml:space="preserve">der </w:t>
      </w:r>
      <w:r w:rsidR="00150584">
        <w:t>Außenumsatz i</w:t>
      </w:r>
      <w:r w:rsidR="00AE46A1">
        <w:t>m dritten Q</w:t>
      </w:r>
      <w:r>
        <w:t xml:space="preserve">uartal 2012 </w:t>
      </w:r>
      <w:r w:rsidR="00AE46A1">
        <w:t xml:space="preserve">gemessen am entsprechenden Vorjahreswert um gut 13 Prozent auf 537,5 Mio. </w:t>
      </w:r>
      <w:r w:rsidR="00456625">
        <w:t>Euro</w:t>
      </w:r>
      <w:r w:rsidR="00AE46A1">
        <w:t xml:space="preserve"> </w:t>
      </w:r>
      <w:r w:rsidR="00800E49">
        <w:t xml:space="preserve">(Vorjahr: 474,5 Mio. Euro) </w:t>
      </w:r>
      <w:r w:rsidR="00AE46A1">
        <w:t>und in</w:t>
      </w:r>
      <w:r w:rsidR="00150584">
        <w:t xml:space="preserve"> den ersten </w:t>
      </w:r>
      <w:r w:rsidR="00AE46A1">
        <w:t>neun</w:t>
      </w:r>
      <w:r w:rsidR="00150584">
        <w:t xml:space="preserve"> Monaten 2012 </w:t>
      </w:r>
      <w:r w:rsidR="00AE46A1">
        <w:t xml:space="preserve">insgesamt um rund 12 Prozent auf 1.663,2 Mio. </w:t>
      </w:r>
      <w:r w:rsidR="00456625">
        <w:t>Euro</w:t>
      </w:r>
      <w:r w:rsidR="00AE46A1">
        <w:t xml:space="preserve"> (Vorjahr: 1.448,</w:t>
      </w:r>
      <w:r w:rsidR="0040363A">
        <w:t>0</w:t>
      </w:r>
      <w:r w:rsidR="00AE46A1">
        <w:t xml:space="preserve"> Mio. Euro)</w:t>
      </w:r>
      <w:r w:rsidR="00171FD9">
        <w:t>.</w:t>
      </w:r>
      <w:r w:rsidR="0023480D">
        <w:t xml:space="preserve"> Dabei </w:t>
      </w:r>
      <w:r w:rsidR="003C2A31">
        <w:t xml:space="preserve">vergrößerten sich </w:t>
      </w:r>
      <w:r w:rsidR="0023480D">
        <w:t>sowohl die Lieferungen an die Automobilhersteller als auch an die Nutzfahrzeugindustrie.</w:t>
      </w:r>
      <w:r w:rsidR="003C2A31">
        <w:t xml:space="preserve"> Das Segment-EBIT lag im dritten Quartal 2012 mit 25,5 Mio. Euro deutlich unter dem Vergleichswert von 35,1 Mio. Euro und nach neun Monaten bei 102,8 Mio. Eu</w:t>
      </w:r>
      <w:r w:rsidR="00800E49">
        <w:t xml:space="preserve">ro (Vorjahr: 110,4 Mio. Euro). Bemerkbar </w:t>
      </w:r>
      <w:r w:rsidR="00800E49">
        <w:lastRenderedPageBreak/>
        <w:t xml:space="preserve">machten sich </w:t>
      </w:r>
      <w:r w:rsidR="00E832F4">
        <w:t xml:space="preserve">hier </w:t>
      </w:r>
      <w:r w:rsidR="00800E49">
        <w:t xml:space="preserve">vor allem </w:t>
      </w:r>
      <w:r w:rsidR="008A060A">
        <w:t xml:space="preserve">ein negativer Ergebnisbeitrag von Leoni </w:t>
      </w:r>
      <w:proofErr w:type="spellStart"/>
      <w:r w:rsidR="008A060A">
        <w:t>Wiring</w:t>
      </w:r>
      <w:proofErr w:type="spellEnd"/>
      <w:r w:rsidR="008A060A">
        <w:t xml:space="preserve"> Systems Korea, der aus höheren Integrations- und Anlaufkosten </w:t>
      </w:r>
      <w:r w:rsidR="008A060A" w:rsidRPr="007C4E19">
        <w:t>resultier</w:t>
      </w:r>
      <w:r w:rsidR="008A060A">
        <w:t xml:space="preserve">te, sowie  </w:t>
      </w:r>
      <w:r w:rsidR="00800E49">
        <w:t>Re</w:t>
      </w:r>
      <w:r w:rsidR="003C2A31">
        <w:t>strukturierungsaufwendungen, vorwiegend aufgrund der Schließung eines Standortes in Tunesien.</w:t>
      </w:r>
    </w:p>
    <w:p w:rsidR="003C2A31" w:rsidRDefault="003C2A31" w:rsidP="00526250">
      <w:pPr>
        <w:pStyle w:val="MMVorspann"/>
      </w:pPr>
      <w:r w:rsidRPr="00F52F39">
        <w:t>Im dritten Quartal gingen weitere neue Bestellungen für Bordnetz-Systeme und Kabelsätze von verschiedenen Automobilherstellern ein. Damit verfügt der Unternehm</w:t>
      </w:r>
      <w:r w:rsidR="00DD194A" w:rsidRPr="00F52F39">
        <w:t>en</w:t>
      </w:r>
      <w:r w:rsidRPr="00F52F39">
        <w:t xml:space="preserve">sbereich </w:t>
      </w:r>
      <w:r w:rsidR="00DD194A" w:rsidRPr="00F52F39">
        <w:t>über ein mittelfristiges Auftragsbuch (bis 2017) von rund 11 Mrd. Euro (Vorjahr: gut 10 Mrd. Euro).</w:t>
      </w:r>
      <w:r w:rsidR="00DD194A">
        <w:t xml:space="preserve"> </w:t>
      </w:r>
    </w:p>
    <w:p w:rsidR="008D7125" w:rsidRPr="008D7125" w:rsidRDefault="00131EA6" w:rsidP="00966A4E">
      <w:pPr>
        <w:pStyle w:val="MMZwischenberschrift"/>
      </w:pPr>
      <w:r>
        <w:t xml:space="preserve">WCS: </w:t>
      </w:r>
      <w:r w:rsidR="005061B5">
        <w:t xml:space="preserve">Solides Geschäft </w:t>
      </w:r>
      <w:r w:rsidR="002F529D">
        <w:t>mit</w:t>
      </w:r>
      <w:r w:rsidR="008D7125" w:rsidRPr="008D7125">
        <w:t xml:space="preserve"> Draht-/Kabel-</w:t>
      </w:r>
      <w:r w:rsidR="002F529D">
        <w:t>Produkten</w:t>
      </w:r>
    </w:p>
    <w:p w:rsidR="0088711B" w:rsidRDefault="0088711B" w:rsidP="00526250">
      <w:pPr>
        <w:pStyle w:val="MMVorspann"/>
      </w:pPr>
      <w:r>
        <w:t>Der</w:t>
      </w:r>
      <w:r w:rsidR="008D7125">
        <w:t xml:space="preserve"> Unternehmensbereich </w:t>
      </w:r>
      <w:proofErr w:type="spellStart"/>
      <w:r w:rsidR="008D7125">
        <w:t>Wire</w:t>
      </w:r>
      <w:proofErr w:type="spellEnd"/>
      <w:r w:rsidR="008D7125">
        <w:t xml:space="preserve"> &amp; Cable Solutions </w:t>
      </w:r>
      <w:r w:rsidR="00131EA6">
        <w:t xml:space="preserve">(WCS) </w:t>
      </w:r>
      <w:r>
        <w:t xml:space="preserve">erzielte im dritten Quartal 2012 einen Außenumsatz von 417,3 Mio. Euro nach 438,6 Mio. Euro im sehr starken vergleichbaren Vorjahreszeitraum. Von Januar bis September </w:t>
      </w:r>
      <w:r w:rsidR="00E832F4">
        <w:t xml:space="preserve">des laufenden Jahres </w:t>
      </w:r>
      <w:r>
        <w:t>lag d</w:t>
      </w:r>
      <w:r w:rsidR="00797643">
        <w:t>er Umsatz</w:t>
      </w:r>
      <w:r>
        <w:t xml:space="preserve"> mit 1.228,2 Mio. Euro um 4 Prozent unter dem entsprechenden Vorjahresniveau von 1.279,3 Mio. Euro. In den Sommermonaten entwickelte sich </w:t>
      </w:r>
      <w:r w:rsidR="00800E49">
        <w:t>insbesondere</w:t>
      </w:r>
      <w:r>
        <w:t xml:space="preserve"> das Geschäft mit Automobilleitungen und Kabelsätzen für Medizintechnik und Hausgeräte weiterhin gut, während die Nachfrage in den Bereichen Automatisierungstechnik, Solarindustrie und Infrastruktur sowie nach Datenkabeln </w:t>
      </w:r>
      <w:r w:rsidR="005061B5">
        <w:t>nachließ</w:t>
      </w:r>
      <w:r w:rsidR="00800E49">
        <w:t>.</w:t>
      </w:r>
      <w:r>
        <w:t xml:space="preserve"> </w:t>
      </w:r>
      <w:r w:rsidR="00797643">
        <w:t xml:space="preserve">Das Segment-EBIT verbesserte sich im dritten Quartal </w:t>
      </w:r>
      <w:r w:rsidR="00E832F4">
        <w:t xml:space="preserve">2012 </w:t>
      </w:r>
      <w:r w:rsidR="00536F5A">
        <w:t xml:space="preserve">deutlich </w:t>
      </w:r>
      <w:r w:rsidR="00797643">
        <w:t>auf 27,3 Mio. Euro</w:t>
      </w:r>
      <w:r w:rsidR="00536F5A" w:rsidRPr="00536F5A">
        <w:t xml:space="preserve"> </w:t>
      </w:r>
      <w:r w:rsidR="00536F5A">
        <w:t>(Vorjahr: 19,3 Mio. Euro)</w:t>
      </w:r>
      <w:r w:rsidR="00797643">
        <w:t xml:space="preserve">. Nach neun Monaten wurde inklusive des Sonderertrags aus dem Verkauf der Leoni Studer Hard AG ein EBIT von 94,3 Mio. Euro ausgewiesen (Vorjahr: 73,1 Mio. Euro). </w:t>
      </w:r>
    </w:p>
    <w:p w:rsidR="00150584" w:rsidRDefault="00E832F4" w:rsidP="00966A4E">
      <w:pPr>
        <w:pStyle w:val="MMZwischenberschrift"/>
      </w:pPr>
      <w:r>
        <w:t>Gestiegene Investitionen</w:t>
      </w:r>
    </w:p>
    <w:p w:rsidR="005061B5" w:rsidRDefault="005A79DB" w:rsidP="005061B5">
      <w:pPr>
        <w:pStyle w:val="MMVorspann"/>
      </w:pPr>
      <w:r>
        <w:t>Von Januar bis September 2012 investierte Leoni konzernweit 137,8 Mio. Euro (Vorjahr: 92,4 Mio. Euro)</w:t>
      </w:r>
      <w:r w:rsidR="005061B5">
        <w:t xml:space="preserve">, davon 111,5 Mio. Euro (Vorjahr: 84,3 Mio. Euro) in Sachanlagen und immaterielle Vermögensgegenstände. </w:t>
      </w:r>
      <w:r>
        <w:t xml:space="preserve">Im Unternehmensbereich </w:t>
      </w:r>
      <w:r w:rsidR="00131EA6">
        <w:t>WSD</w:t>
      </w:r>
      <w:r w:rsidR="005061B5">
        <w:t xml:space="preserve"> standen Kapazitätserweiterungen für Neu- und Folgeaufträge aus der internationalen Automobilindustrie an Standorten in Osteuropa, </w:t>
      </w:r>
      <w:r w:rsidR="00800E49">
        <w:t>Nordafrika</w:t>
      </w:r>
      <w:r w:rsidR="0040363A">
        <w:t>,</w:t>
      </w:r>
      <w:r w:rsidR="00800E49">
        <w:t xml:space="preserve"> </w:t>
      </w:r>
      <w:r w:rsidR="0040363A">
        <w:t xml:space="preserve">Brasilien </w:t>
      </w:r>
      <w:r w:rsidR="00800E49">
        <w:t xml:space="preserve">und </w:t>
      </w:r>
      <w:r w:rsidR="005061B5">
        <w:t>Russland im Mittelpunkt. Der Unternehmensbereich W</w:t>
      </w:r>
      <w:r w:rsidR="00131EA6">
        <w:t>CS</w:t>
      </w:r>
      <w:r w:rsidR="005061B5">
        <w:t xml:space="preserve"> investierte vor allem in die Fertigung von </w:t>
      </w:r>
      <w:r w:rsidR="005061B5">
        <w:lastRenderedPageBreak/>
        <w:t>Automobil-Sonderleitungen in China, Mexiko und de</w:t>
      </w:r>
      <w:r w:rsidR="00800E49">
        <w:t>r</w:t>
      </w:r>
      <w:r w:rsidR="005061B5">
        <w:t xml:space="preserve"> Slowakei sowie in einen neuen Standort in Indien. </w:t>
      </w:r>
    </w:p>
    <w:p w:rsidR="00150584" w:rsidRPr="000E6E24" w:rsidRDefault="005A79DB" w:rsidP="00966A4E">
      <w:pPr>
        <w:pStyle w:val="MMZwischenberschrift"/>
      </w:pPr>
      <w:r>
        <w:t xml:space="preserve">Weltweit </w:t>
      </w:r>
      <w:r w:rsidR="005061B5">
        <w:t>r</w:t>
      </w:r>
      <w:r w:rsidR="002803A0">
        <w:t>und</w:t>
      </w:r>
      <w:r w:rsidR="00E61EBD" w:rsidRPr="000E6E24">
        <w:t xml:space="preserve"> 6</w:t>
      </w:r>
      <w:r>
        <w:t>2</w:t>
      </w:r>
      <w:r w:rsidR="00E61EBD" w:rsidRPr="000E6E24">
        <w:t xml:space="preserve">.000 </w:t>
      </w:r>
      <w:r w:rsidR="00150584" w:rsidRPr="000E6E24">
        <w:t>Mitarbeiter</w:t>
      </w:r>
      <w:r w:rsidR="00E61EBD" w:rsidRPr="000E6E24">
        <w:t xml:space="preserve"> </w:t>
      </w:r>
    </w:p>
    <w:p w:rsidR="00CC439D" w:rsidRDefault="005061B5" w:rsidP="00526250">
      <w:pPr>
        <w:pStyle w:val="MMVorspann"/>
      </w:pPr>
      <w:r>
        <w:t xml:space="preserve">Ende September 2012 beschäftigte Leoni </w:t>
      </w:r>
      <w:r w:rsidR="00CC439D">
        <w:t xml:space="preserve">weltweit </w:t>
      </w:r>
      <w:r>
        <w:t xml:space="preserve">61.850 </w:t>
      </w:r>
      <w:r w:rsidR="00CC439D">
        <w:t>Mitarbeiter, das sind 1.105 Personen mehr als zum Jahreswechsel. Gegenüber dem bisherigen Quartalshöchststand per Ende März 201</w:t>
      </w:r>
      <w:r w:rsidR="00C870B8">
        <w:t>2</w:t>
      </w:r>
      <w:r w:rsidR="00CC439D">
        <w:t xml:space="preserve"> verkleinerte sich die Belegschaft </w:t>
      </w:r>
      <w:r w:rsidR="00800E49">
        <w:t xml:space="preserve">dagegen </w:t>
      </w:r>
      <w:r w:rsidR="00CC439D">
        <w:t xml:space="preserve">aufgrund von Effizienzsteigerungen an verschiedenen ausländischen Bordnetz-Standorten und der Schließung </w:t>
      </w:r>
      <w:r w:rsidR="00131EA6">
        <w:t xml:space="preserve">eines </w:t>
      </w:r>
      <w:r w:rsidR="006047BE">
        <w:t>chinesischen Daekyeung-Werks</w:t>
      </w:r>
      <w:r w:rsidR="00CC439D">
        <w:t xml:space="preserve"> um 1.518 Personen. </w:t>
      </w:r>
      <w:r w:rsidR="00800E49">
        <w:t>Z</w:t>
      </w:r>
      <w:r w:rsidR="00CC439D">
        <w:t xml:space="preserve">um Stichtag 30. September 2012 </w:t>
      </w:r>
      <w:r w:rsidR="00800E49">
        <w:t xml:space="preserve">waren </w:t>
      </w:r>
      <w:r w:rsidR="00CC439D">
        <w:t>im Ausland 57.680 Mitarbeiter für Leoni tätig (31. Dezember 2011: 56.728) und  im Inland 4.170 (31. D</w:t>
      </w:r>
      <w:bookmarkStart w:id="0" w:name="_GoBack"/>
      <w:bookmarkEnd w:id="0"/>
      <w:r w:rsidR="00CC439D">
        <w:t xml:space="preserve">ezember 2011: 4.017). </w:t>
      </w:r>
    </w:p>
    <w:p w:rsidR="00A14C9F" w:rsidRPr="00150584" w:rsidRDefault="00CC439D" w:rsidP="00966A4E">
      <w:pPr>
        <w:pStyle w:val="MMZwischenberschrift"/>
      </w:pPr>
      <w:r>
        <w:t>Im Gesamtjahr Umsatz und Ergebnis auf Vorjahresniveau erwartet</w:t>
      </w:r>
      <w:r w:rsidR="009900FA" w:rsidRPr="00150584">
        <w:t xml:space="preserve"> </w:t>
      </w:r>
    </w:p>
    <w:p w:rsidR="00F52F39" w:rsidRDefault="00CC439D" w:rsidP="00526250">
      <w:pPr>
        <w:pStyle w:val="MMVorspann"/>
      </w:pPr>
      <w:r>
        <w:t xml:space="preserve">Im weiteren Jahresverlauf rechnet Leoni mit einer </w:t>
      </w:r>
      <w:r w:rsidR="00131EA6">
        <w:t>merklichen</w:t>
      </w:r>
      <w:r>
        <w:t xml:space="preserve"> Abschwächung des Geschäfts. Vor allem die Abrufe aus der Automobilindustrie, aber auch die Nachfrage in vielen anderen Abnehmerbranchen geh</w:t>
      </w:r>
      <w:r w:rsidR="00800E49">
        <w:t>en</w:t>
      </w:r>
      <w:r>
        <w:t xml:space="preserve"> seit Anfang Oktober zurück. </w:t>
      </w:r>
      <w:r w:rsidR="00F1350C">
        <w:t>Dennoch rechnet Leoni f</w:t>
      </w:r>
      <w:r w:rsidR="006F7B4F">
        <w:t>ür</w:t>
      </w:r>
      <w:r w:rsidR="00800E49">
        <w:t xml:space="preserve"> das Gesamtjahr</w:t>
      </w:r>
      <w:r w:rsidR="006F7B4F">
        <w:t xml:space="preserve"> 2012</w:t>
      </w:r>
      <w:r w:rsidR="00F52F39">
        <w:t xml:space="preserve"> </w:t>
      </w:r>
      <w:r w:rsidR="00131EA6">
        <w:t xml:space="preserve">damit, dass </w:t>
      </w:r>
      <w:r w:rsidR="00F1350C">
        <w:t>U</w:t>
      </w:r>
      <w:r w:rsidR="00800E49">
        <w:t xml:space="preserve">msatz </w:t>
      </w:r>
      <w:r w:rsidR="00131EA6">
        <w:t>und E</w:t>
      </w:r>
      <w:r w:rsidR="00F1350C">
        <w:t>rgebnis</w:t>
      </w:r>
      <w:r w:rsidR="00800E49">
        <w:t xml:space="preserve"> auf dem Niveau des Vorjahres liegen</w:t>
      </w:r>
      <w:r w:rsidR="00F1350C">
        <w:t xml:space="preserve"> werden</w:t>
      </w:r>
      <w:r w:rsidR="00800E49">
        <w:t>, in dem das</w:t>
      </w:r>
      <w:r w:rsidR="006F7B4F">
        <w:t xml:space="preserve"> Unternehmen Rekordwerte </w:t>
      </w:r>
      <w:r w:rsidR="00800E49">
        <w:t>verzeichnet</w:t>
      </w:r>
      <w:r w:rsidR="006F7B4F">
        <w:t xml:space="preserve"> hatte: </w:t>
      </w:r>
      <w:r w:rsidR="00F1350C">
        <w:t>Aktuell e</w:t>
      </w:r>
      <w:r w:rsidR="00800E49">
        <w:t>rwartet</w:t>
      </w:r>
      <w:r w:rsidR="006F7B4F">
        <w:t xml:space="preserve"> </w:t>
      </w:r>
      <w:r w:rsidR="00800E49">
        <w:t>Leoni</w:t>
      </w:r>
      <w:r w:rsidR="006F7B4F">
        <w:t xml:space="preserve"> eine</w:t>
      </w:r>
      <w:r w:rsidR="00800E49">
        <w:t>n</w:t>
      </w:r>
      <w:r w:rsidR="006F7B4F">
        <w:t xml:space="preserve"> Konzernumsatz von </w:t>
      </w:r>
      <w:r w:rsidR="0040363A">
        <w:t xml:space="preserve">rund </w:t>
      </w:r>
      <w:r w:rsidR="006F7B4F">
        <w:t>3,75 Mrd. Euro (Vorjahr: 3,70 Mrd. Euro)</w:t>
      </w:r>
      <w:r w:rsidR="00F1350C">
        <w:t>; h</w:t>
      </w:r>
      <w:r w:rsidR="00800E49">
        <w:t xml:space="preserve">ierzu </w:t>
      </w:r>
      <w:r w:rsidR="000E556B">
        <w:t>trag</w:t>
      </w:r>
      <w:r w:rsidR="00800E49">
        <w:t xml:space="preserve">en </w:t>
      </w:r>
      <w:r w:rsidR="006F7B4F">
        <w:t>der Unternehmensbereich W</w:t>
      </w:r>
      <w:r w:rsidR="00F1350C">
        <w:t>SD</w:t>
      </w:r>
      <w:r w:rsidR="006F7B4F">
        <w:t xml:space="preserve"> 2,18 Mrd. Euro (Vorjahr: 2,02 Mio. Euro) und d</w:t>
      </w:r>
      <w:r w:rsidR="000E556B">
        <w:t>i</w:t>
      </w:r>
      <w:r w:rsidR="006F7B4F">
        <w:t xml:space="preserve">e </w:t>
      </w:r>
      <w:r w:rsidR="000E556B">
        <w:t>Division</w:t>
      </w:r>
      <w:r w:rsidR="006F7B4F">
        <w:t xml:space="preserve"> W</w:t>
      </w:r>
      <w:r w:rsidR="00F1350C">
        <w:t>CS</w:t>
      </w:r>
      <w:r w:rsidR="006F7B4F">
        <w:t xml:space="preserve"> 1,57 Mrd. Euro (Vorjahr: 1,68 Mrd. Euro) bei. Das E</w:t>
      </w:r>
      <w:r w:rsidR="00F1350C">
        <w:t>BIT</w:t>
      </w:r>
      <w:r w:rsidR="008A060A">
        <w:t xml:space="preserve"> </w:t>
      </w:r>
      <w:r w:rsidR="006F7B4F">
        <w:t>wird aus heutiger Sicht inklusive des Einmaleffekts aus dem Verkauf der Leoni Studer Hard AG</w:t>
      </w:r>
      <w:r w:rsidR="0040363A">
        <w:t xml:space="preserve"> etwa</w:t>
      </w:r>
      <w:r w:rsidR="006F7B4F">
        <w:t xml:space="preserve"> 235 Mio. Euro betragen (Vorjahr: 237</w:t>
      </w:r>
      <w:r w:rsidR="0040363A">
        <w:t>,1</w:t>
      </w:r>
      <w:r w:rsidR="006F7B4F">
        <w:t xml:space="preserve"> Mio. Euro).</w:t>
      </w:r>
      <w:r w:rsidR="00B81744">
        <w:t xml:space="preserve"> </w:t>
      </w:r>
    </w:p>
    <w:p w:rsidR="005456EE" w:rsidRDefault="005456EE" w:rsidP="000E0B3D">
      <w:pPr>
        <w:spacing w:after="120"/>
        <w:ind w:right="1922"/>
        <w:rPr>
          <w:rFonts w:ascii="Arial" w:hAnsi="Arial" w:cs="Arial"/>
          <w:i/>
          <w:sz w:val="21"/>
          <w:szCs w:val="21"/>
        </w:rPr>
      </w:pPr>
      <w:r w:rsidRPr="008A060A">
        <w:rPr>
          <w:rFonts w:ascii="Arial" w:hAnsi="Arial" w:cs="Arial"/>
          <w:i/>
          <w:sz w:val="21"/>
          <w:szCs w:val="21"/>
        </w:rPr>
        <w:t>(</w:t>
      </w:r>
      <w:r w:rsidR="008A060A" w:rsidRPr="008A060A">
        <w:rPr>
          <w:rFonts w:ascii="Arial" w:hAnsi="Arial" w:cs="Arial"/>
          <w:i/>
          <w:sz w:val="21"/>
          <w:szCs w:val="21"/>
        </w:rPr>
        <w:t>5.5</w:t>
      </w:r>
      <w:r w:rsidR="0040363A">
        <w:rPr>
          <w:rFonts w:ascii="Arial" w:hAnsi="Arial" w:cs="Arial"/>
          <w:i/>
          <w:sz w:val="21"/>
          <w:szCs w:val="21"/>
        </w:rPr>
        <w:t>89</w:t>
      </w:r>
      <w:r w:rsidR="00425F8E" w:rsidRPr="008A060A">
        <w:rPr>
          <w:rFonts w:ascii="Arial" w:hAnsi="Arial" w:cs="Arial"/>
          <w:i/>
          <w:sz w:val="21"/>
          <w:szCs w:val="21"/>
        </w:rPr>
        <w:t xml:space="preserve"> </w:t>
      </w:r>
      <w:r w:rsidRPr="008A060A">
        <w:rPr>
          <w:rFonts w:ascii="Arial" w:hAnsi="Arial" w:cs="Arial"/>
          <w:i/>
          <w:sz w:val="21"/>
          <w:szCs w:val="21"/>
        </w:rPr>
        <w:t>Anschläge inkl. Leerzeichen)</w:t>
      </w:r>
    </w:p>
    <w:p w:rsidR="00874DE6" w:rsidRPr="009714B0" w:rsidRDefault="00874DE6" w:rsidP="000E0B3D">
      <w:pPr>
        <w:ind w:right="1922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0E0B3D">
        <w:rPr>
          <w:rFonts w:ascii="Arial" w:hAnsi="Arial" w:cs="Arial"/>
          <w:i/>
          <w:sz w:val="21"/>
          <w:szCs w:val="21"/>
        </w:rPr>
        <w:t>Zugehöriges Ill</w:t>
      </w:r>
      <w:r w:rsidRPr="00DF6351">
        <w:rPr>
          <w:rFonts w:ascii="Arial" w:hAnsi="Arial" w:cs="Arial"/>
          <w:i/>
          <w:sz w:val="21"/>
          <w:szCs w:val="21"/>
        </w:rPr>
        <w:t xml:space="preserve">ustrationsmaterial finden Sie </w:t>
      </w:r>
      <w:r w:rsidRPr="006D36F9">
        <w:rPr>
          <w:rFonts w:ascii="Arial" w:hAnsi="Arial" w:cs="Arial"/>
          <w:i/>
          <w:sz w:val="21"/>
          <w:szCs w:val="21"/>
        </w:rPr>
        <w:t>unter</w:t>
      </w:r>
      <w:r w:rsidR="000E0B3D">
        <w:rPr>
          <w:rFonts w:ascii="Arial" w:hAnsi="Arial" w:cs="Arial"/>
          <w:i/>
          <w:sz w:val="21"/>
          <w:szCs w:val="21"/>
        </w:rPr>
        <w:t xml:space="preserve"> </w:t>
      </w:r>
      <w:hyperlink r:id="rId9" w:history="1">
        <w:r w:rsidR="000E0B3D" w:rsidRPr="000E0B3D">
          <w:rPr>
            <w:rStyle w:val="Hyperlink"/>
            <w:rFonts w:ascii="Arial" w:hAnsi="Arial" w:cs="Arial"/>
            <w:i/>
            <w:sz w:val="21"/>
            <w:szCs w:val="21"/>
          </w:rPr>
          <w:t>http://www.leoni.com/12_Q3.15899.0.html?L=0</w:t>
        </w:r>
      </w:hyperlink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797643" w:rsidRDefault="00874DE6" w:rsidP="000E0B3D">
      <w:pPr>
        <w:ind w:right="1922"/>
        <w:rPr>
          <w:rFonts w:ascii="Arial" w:hAnsi="Arial" w:cs="Arial"/>
          <w:i/>
          <w:sz w:val="21"/>
          <w:szCs w:val="21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Den vollständigen </w:t>
      </w:r>
      <w:r>
        <w:rPr>
          <w:rFonts w:ascii="Arial" w:hAnsi="Arial" w:cs="Arial"/>
          <w:i/>
          <w:sz w:val="21"/>
          <w:szCs w:val="21"/>
        </w:rPr>
        <w:t>Quartals</w:t>
      </w:r>
      <w:r w:rsidRPr="00DF6351">
        <w:rPr>
          <w:rFonts w:ascii="Arial" w:hAnsi="Arial" w:cs="Arial"/>
          <w:i/>
          <w:sz w:val="21"/>
          <w:szCs w:val="21"/>
        </w:rPr>
        <w:t>bericht können Sie herunterladen unter</w:t>
      </w:r>
      <w:r w:rsidR="008A060A">
        <w:rPr>
          <w:rFonts w:ascii="Arial" w:hAnsi="Arial" w:cs="Arial"/>
          <w:i/>
          <w:sz w:val="21"/>
          <w:szCs w:val="21"/>
        </w:rPr>
        <w:t xml:space="preserve"> </w:t>
      </w:r>
      <w:hyperlink r:id="rId10" w:history="1">
        <w:r w:rsidR="008A060A" w:rsidRPr="008905BB">
          <w:rPr>
            <w:rStyle w:val="Hyperlink"/>
            <w:rFonts w:ascii="Arial" w:hAnsi="Arial" w:cs="Arial"/>
            <w:i/>
            <w:sz w:val="21"/>
            <w:szCs w:val="21"/>
          </w:rPr>
          <w:t>www.leoni.com/?q3-2012&amp;L=0</w:t>
        </w:r>
      </w:hyperlink>
      <w:r w:rsidR="00797643">
        <w:rPr>
          <w:rFonts w:ascii="Arial" w:hAnsi="Arial" w:cs="Arial"/>
          <w:i/>
          <w:sz w:val="21"/>
          <w:szCs w:val="21"/>
        </w:rPr>
        <w:t xml:space="preserve"> </w:t>
      </w:r>
    </w:p>
    <w:p w:rsidR="00797643" w:rsidRDefault="00797643" w:rsidP="000E0B3D">
      <w:pPr>
        <w:ind w:right="1922"/>
        <w:rPr>
          <w:rFonts w:ascii="Arial" w:hAnsi="Arial" w:cs="Arial"/>
          <w:i/>
          <w:sz w:val="21"/>
          <w:szCs w:val="21"/>
        </w:rPr>
      </w:pPr>
    </w:p>
    <w:p w:rsidR="00874DE6" w:rsidRDefault="00874DE6" w:rsidP="000E0B3D">
      <w:pPr>
        <w:ind w:right="1922"/>
        <w:rPr>
          <w:rFonts w:ascii="Arial" w:hAnsi="Arial" w:cs="Arial"/>
          <w:i/>
          <w:sz w:val="21"/>
          <w:szCs w:val="21"/>
        </w:rPr>
      </w:pPr>
      <w:r w:rsidRPr="009A7FB8">
        <w:rPr>
          <w:rFonts w:ascii="Arial" w:hAnsi="Arial" w:cs="Arial"/>
          <w:i/>
          <w:sz w:val="21"/>
          <w:szCs w:val="21"/>
        </w:rPr>
        <w:t>Hinweis für Journalisten: Heute findet um 11.30 Uhr eine Telefonkonferenz für Medienvertreter statt. Einwahldaten erhalten Sie unter Tel.: +49 (0)911/2023-467</w:t>
      </w:r>
    </w:p>
    <w:p w:rsidR="00A14C9F" w:rsidRDefault="00A14C9F" w:rsidP="00A14C9F">
      <w:pPr>
        <w:pStyle w:val="MMKurzprofilberschrift"/>
        <w:spacing w:after="120"/>
      </w:pPr>
      <w:r w:rsidRPr="009714B0">
        <w:lastRenderedPageBreak/>
        <w:t>Leoni-Konzernzahlen im Überblick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60"/>
        <w:gridCol w:w="960"/>
        <w:gridCol w:w="960"/>
        <w:gridCol w:w="948"/>
        <w:gridCol w:w="1559"/>
      </w:tblGrid>
      <w:tr w:rsidR="00A14C9F" w:rsidRPr="00E1439C" w:rsidTr="008A060A"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174DF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960" w:type="dxa"/>
            <w:vAlign w:val="center"/>
          </w:tcPr>
          <w:p w:rsidR="00A14C9F" w:rsidRPr="007174DF" w:rsidRDefault="00A14C9F" w:rsidP="00DD194A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60" w:type="dxa"/>
            <w:vAlign w:val="center"/>
          </w:tcPr>
          <w:p w:rsidR="00A14C9F" w:rsidRPr="007174DF" w:rsidRDefault="00A14C9F" w:rsidP="00DD194A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DF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60" w:type="dxa"/>
            <w:vAlign w:val="center"/>
          </w:tcPr>
          <w:p w:rsidR="00A14C9F" w:rsidRPr="007174DF" w:rsidRDefault="00A14C9F" w:rsidP="00DD194A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948" w:type="dxa"/>
            <w:vAlign w:val="center"/>
          </w:tcPr>
          <w:p w:rsidR="00A14C9F" w:rsidRPr="007174DF" w:rsidRDefault="00A14C9F" w:rsidP="00DD194A">
            <w:pPr>
              <w:tabs>
                <w:tab w:val="left" w:pos="8505"/>
              </w:tabs>
              <w:ind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DF">
              <w:rPr>
                <w:rFonts w:ascii="Arial" w:hAnsi="Arial" w:cs="Arial"/>
                <w:b/>
                <w:sz w:val="18"/>
                <w:szCs w:val="18"/>
              </w:rPr>
              <w:t>Q1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559" w:type="dxa"/>
            <w:vAlign w:val="center"/>
          </w:tcPr>
          <w:p w:rsidR="00DD194A" w:rsidRDefault="00A14C9F" w:rsidP="00DD194A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DF">
              <w:rPr>
                <w:rFonts w:ascii="Arial" w:hAnsi="Arial" w:cs="Arial"/>
                <w:b/>
                <w:sz w:val="18"/>
                <w:szCs w:val="18"/>
              </w:rPr>
              <w:t xml:space="preserve">Veränderung </w:t>
            </w:r>
          </w:p>
          <w:p w:rsidR="00DD194A" w:rsidRDefault="00A14C9F" w:rsidP="00DD194A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DF">
              <w:rPr>
                <w:rFonts w:ascii="Arial" w:hAnsi="Arial" w:cs="Arial"/>
                <w:b/>
                <w:sz w:val="18"/>
                <w:szCs w:val="18"/>
              </w:rPr>
              <w:t>Q1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</w:p>
          <w:p w:rsidR="00A14C9F" w:rsidRPr="007174DF" w:rsidRDefault="00A14C9F" w:rsidP="00DD194A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DF">
              <w:rPr>
                <w:rFonts w:ascii="Arial" w:hAnsi="Arial" w:cs="Arial"/>
                <w:b/>
                <w:sz w:val="18"/>
                <w:szCs w:val="18"/>
              </w:rPr>
              <w:t>Q1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DD194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A14C9F" w:rsidRPr="000102B0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0E0B3D" w:rsidP="000E0B3D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</w:t>
            </w:r>
            <w:r w:rsidR="00A14C9F" w:rsidRPr="007174DF">
              <w:rPr>
                <w:rFonts w:ascii="Arial" w:hAnsi="Arial" w:cs="Arial"/>
                <w:sz w:val="18"/>
                <w:szCs w:val="18"/>
              </w:rPr>
              <w:t xml:space="preserve"> [M</w:t>
            </w:r>
            <w:r w:rsidR="00A14C9F" w:rsidRPr="007174DF"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960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954,7</w:t>
            </w:r>
          </w:p>
        </w:tc>
        <w:tc>
          <w:tcPr>
            <w:tcW w:w="960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913,1</w:t>
            </w:r>
          </w:p>
        </w:tc>
        <w:tc>
          <w:tcPr>
            <w:tcW w:w="960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2.891,4</w:t>
            </w:r>
          </w:p>
        </w:tc>
        <w:tc>
          <w:tcPr>
            <w:tcW w:w="948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2.767,4</w:t>
            </w:r>
          </w:p>
        </w:tc>
        <w:tc>
          <w:tcPr>
            <w:tcW w:w="1559" w:type="dxa"/>
            <w:vAlign w:val="center"/>
          </w:tcPr>
          <w:p w:rsidR="00A14C9F" w:rsidRPr="007174DF" w:rsidRDefault="008C6DEF" w:rsidP="00F52F39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4,</w:t>
            </w:r>
            <w:r w:rsidR="00F52F39">
              <w:rPr>
                <w:rFonts w:ascii="Arial" w:hAnsi="Arial" w:cs="Arial"/>
                <w:sz w:val="18"/>
                <w:szCs w:val="18"/>
                <w:lang w:val="it-IT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0102B0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960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82,7</w:t>
            </w:r>
          </w:p>
        </w:tc>
        <w:tc>
          <w:tcPr>
            <w:tcW w:w="960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81,5</w:t>
            </w:r>
          </w:p>
        </w:tc>
        <w:tc>
          <w:tcPr>
            <w:tcW w:w="960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284,1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263,9</w:t>
            </w:r>
          </w:p>
        </w:tc>
        <w:tc>
          <w:tcPr>
            <w:tcW w:w="1559" w:type="dxa"/>
            <w:vAlign w:val="center"/>
          </w:tcPr>
          <w:p w:rsidR="00A14C9F" w:rsidRPr="007174DF" w:rsidRDefault="00F52F39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7,7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0102B0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 xml:space="preserve">Ergebnis vor Zinsen und Steuern (EBIT)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52,7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54,6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197,2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183,6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7,4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Bereinigtes E</w:t>
            </w:r>
            <w:r>
              <w:rPr>
                <w:rFonts w:ascii="Arial" w:hAnsi="Arial" w:cs="Arial"/>
                <w:sz w:val="18"/>
                <w:szCs w:val="18"/>
              </w:rPr>
              <w:t xml:space="preserve">BIT </w:t>
            </w:r>
            <w:r w:rsidRPr="007174DF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174DF">
              <w:rPr>
                <w:rFonts w:ascii="Arial" w:hAnsi="Arial" w:cs="Arial"/>
                <w:sz w:val="18"/>
                <w:szCs w:val="18"/>
              </w:rPr>
              <w:t xml:space="preserve">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58,1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181,5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202,1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-10,2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 xml:space="preserve">Ergebnis vor Steuern (EBT)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171,3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152,6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12,3 %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Konzernüberschuss [M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13,4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Investitionen inkl. Akquisitionen [M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49,1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Eigenkapitalquote [%]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</w:t>
            </w:r>
            <w:r w:rsidR="00F95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A14C9F" w:rsidRPr="007174DF" w:rsidRDefault="008C6DEF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A14C9F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Ergebnis je Aktie [€]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3,74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6,4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  <w:tr w:rsidR="00A14C9F" w:rsidRPr="00E1439C" w:rsidTr="008A060A">
        <w:trPr>
          <w:trHeight w:val="284"/>
        </w:trPr>
        <w:tc>
          <w:tcPr>
            <w:tcW w:w="3510" w:type="dxa"/>
            <w:vAlign w:val="center"/>
          </w:tcPr>
          <w:p w:rsidR="00A14C9F" w:rsidRPr="007174DF" w:rsidRDefault="00A14C9F" w:rsidP="001142CD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Mitarbeiter (per 30.0</w:t>
            </w:r>
            <w:r w:rsidR="001142CD">
              <w:rPr>
                <w:rFonts w:ascii="Arial" w:hAnsi="Arial" w:cs="Arial"/>
                <w:sz w:val="18"/>
                <w:szCs w:val="18"/>
              </w:rPr>
              <w:t>9</w:t>
            </w:r>
            <w:r w:rsidRPr="007174DF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61.850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59.039</w:t>
            </w:r>
          </w:p>
        </w:tc>
        <w:tc>
          <w:tcPr>
            <w:tcW w:w="960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61.850</w:t>
            </w:r>
          </w:p>
        </w:tc>
        <w:tc>
          <w:tcPr>
            <w:tcW w:w="948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59.039</w:t>
            </w:r>
          </w:p>
        </w:tc>
        <w:tc>
          <w:tcPr>
            <w:tcW w:w="1559" w:type="dxa"/>
            <w:vAlign w:val="center"/>
          </w:tcPr>
          <w:p w:rsidR="00A14C9F" w:rsidRPr="007174DF" w:rsidRDefault="001142CD" w:rsidP="00A14C9F">
            <w:pPr>
              <w:tabs>
                <w:tab w:val="left" w:pos="8505"/>
              </w:tabs>
              <w:spacing w:line="276" w:lineRule="auto"/>
              <w:ind w:right="113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4,8</w:t>
            </w:r>
            <w:r w:rsidR="008C6DEF">
              <w:rPr>
                <w:rFonts w:ascii="Arial" w:hAnsi="Arial" w:cs="Arial"/>
                <w:sz w:val="18"/>
                <w:szCs w:val="18"/>
                <w:lang w:val="it-IT"/>
              </w:rPr>
              <w:t xml:space="preserve"> %</w:t>
            </w:r>
          </w:p>
        </w:tc>
      </w:tr>
    </w:tbl>
    <w:p w:rsidR="00A14C9F" w:rsidRDefault="00A14C9F" w:rsidP="00A14C9F">
      <w:pPr>
        <w:autoSpaceDE w:val="0"/>
        <w:autoSpaceDN w:val="0"/>
        <w:adjustRightInd w:val="0"/>
        <w:ind w:right="1852"/>
        <w:rPr>
          <w:rFonts w:ascii="Arial" w:hAnsi="Arial" w:cs="Arial"/>
          <w:i/>
          <w:sz w:val="16"/>
          <w:szCs w:val="16"/>
        </w:rPr>
      </w:pPr>
    </w:p>
    <w:p w:rsidR="00A14C9F" w:rsidRDefault="00A14C9F" w:rsidP="00A14C9F">
      <w:pPr>
        <w:autoSpaceDE w:val="0"/>
        <w:autoSpaceDN w:val="0"/>
        <w:adjustRightInd w:val="0"/>
        <w:ind w:right="860"/>
        <w:rPr>
          <w:rFonts w:ascii="Arial" w:hAnsi="Arial" w:cs="Arial"/>
          <w:i/>
          <w:sz w:val="16"/>
          <w:szCs w:val="16"/>
        </w:rPr>
      </w:pPr>
      <w:r w:rsidRPr="00CE476C">
        <w:rPr>
          <w:rFonts w:ascii="Arial" w:hAnsi="Arial" w:cs="Arial"/>
          <w:i/>
          <w:sz w:val="16"/>
          <w:szCs w:val="16"/>
        </w:rPr>
        <w:t>* Ergebnis bereinigt um die Effekte aus der Neubewertung im Rahmen der Kaufpreisverteilung wesentlicher Akquisitionen, Restrukturierungen, Wertminderungen langfristiger Vermögenswerte, Gewinne aus Unternehmens</w:t>
      </w:r>
      <w:r w:rsidR="001216CE" w:rsidRPr="00CE476C">
        <w:rPr>
          <w:rFonts w:ascii="Arial" w:hAnsi="Arial" w:cs="Arial"/>
          <w:i/>
          <w:sz w:val="16"/>
          <w:szCs w:val="16"/>
        </w:rPr>
        <w:t xml:space="preserve">verkäufen und </w:t>
      </w:r>
      <w:r w:rsidRPr="00CE476C">
        <w:rPr>
          <w:rFonts w:ascii="Arial" w:hAnsi="Arial" w:cs="Arial"/>
          <w:i/>
          <w:sz w:val="16"/>
          <w:szCs w:val="16"/>
        </w:rPr>
        <w:t>Ergebnisse aus Unternehmenszusammenschlüssen</w:t>
      </w:r>
      <w:r w:rsidR="001216CE" w:rsidRPr="00CE476C">
        <w:rPr>
          <w:rFonts w:ascii="Arial" w:hAnsi="Arial" w:cs="Arial"/>
          <w:i/>
          <w:sz w:val="16"/>
          <w:szCs w:val="16"/>
        </w:rPr>
        <w:t xml:space="preserve"> inklusive zugehöriger Derivate</w:t>
      </w:r>
      <w:r w:rsidRPr="00CE476C">
        <w:rPr>
          <w:rFonts w:ascii="Arial" w:hAnsi="Arial" w:cs="Arial"/>
          <w:i/>
          <w:sz w:val="16"/>
          <w:szCs w:val="16"/>
        </w:rPr>
        <w:t>.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0E556B">
        <w:t>rund</w:t>
      </w:r>
      <w:r w:rsidR="007C4E19">
        <w:t xml:space="preserve"> </w:t>
      </w:r>
      <w:r w:rsidR="00320044">
        <w:t>6</w:t>
      </w:r>
      <w:r w:rsidR="000E556B">
        <w:t>2</w:t>
      </w:r>
      <w:r w:rsidR="008E7760" w:rsidRPr="006D36F9">
        <w:t>.000 Mitarbeiter in 3</w:t>
      </w:r>
      <w:r w:rsidR="00797643">
        <w:t>2</w:t>
      </w:r>
      <w:r w:rsidR="008E7760" w:rsidRPr="006D36F9">
        <w:t xml:space="preserve"> Ländern und erzielte 20</w:t>
      </w:r>
      <w:r w:rsidR="00977A5F" w:rsidRPr="006D36F9">
        <w:t>1</w:t>
      </w:r>
      <w:r w:rsidR="005E0BBB">
        <w:t>1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E0BBB">
        <w:t>7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2D4E172C" wp14:editId="27DBC69B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355EF70F" wp14:editId="1738D09F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F1350C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797643" w:rsidRPr="00EC592C">
          <w:rPr>
            <w:rStyle w:val="Hyperlink"/>
          </w:rPr>
          <w:t>presse@leoni.com</w:t>
        </w:r>
      </w:hyperlink>
    </w:p>
    <w:p w:rsidR="00F1350C" w:rsidRPr="00F1350C" w:rsidRDefault="00F1350C" w:rsidP="00F1350C"/>
    <w:p w:rsidR="00F1350C" w:rsidRPr="00F1350C" w:rsidRDefault="00F1350C" w:rsidP="00F1350C"/>
    <w:p w:rsidR="00F1350C" w:rsidRDefault="00F1350C" w:rsidP="00F1350C"/>
    <w:p w:rsidR="00F1350C" w:rsidRDefault="00F1350C" w:rsidP="00F1350C"/>
    <w:p w:rsidR="008F5F48" w:rsidRPr="00F1350C" w:rsidRDefault="00F1350C" w:rsidP="00F1350C">
      <w:pPr>
        <w:tabs>
          <w:tab w:val="left" w:pos="2085"/>
        </w:tabs>
      </w:pPr>
      <w:r>
        <w:tab/>
      </w:r>
    </w:p>
    <w:sectPr w:rsidR="008F5F48" w:rsidRPr="00F1350C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DF" w:rsidRPr="00A44C71" w:rsidRDefault="009802DF">
      <w:pPr>
        <w:rPr>
          <w:sz w:val="16"/>
        </w:rPr>
      </w:pPr>
      <w:r>
        <w:separator/>
      </w:r>
    </w:p>
  </w:endnote>
  <w:endnote w:type="continuationSeparator" w:id="0">
    <w:p w:rsidR="009802DF" w:rsidRPr="00A44C71" w:rsidRDefault="009802D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DF" w:rsidRPr="009A05EE" w:rsidRDefault="009802DF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9802DF" w:rsidRPr="009F6805" w:rsidRDefault="009802DF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DF" w:rsidRPr="00406709" w:rsidRDefault="009802DF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9802DF" w:rsidRPr="00406709" w:rsidRDefault="009802D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9802DF" w:rsidRPr="00406709" w:rsidRDefault="009802D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9802DF" w:rsidRPr="00406709" w:rsidRDefault="009802D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9802DF" w:rsidRPr="00406709" w:rsidRDefault="009802D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9802DF" w:rsidRDefault="009802DF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DF" w:rsidRPr="00A44C71" w:rsidRDefault="009802DF">
      <w:pPr>
        <w:rPr>
          <w:sz w:val="16"/>
        </w:rPr>
      </w:pPr>
      <w:r>
        <w:separator/>
      </w:r>
    </w:p>
  </w:footnote>
  <w:footnote w:type="continuationSeparator" w:id="0">
    <w:p w:rsidR="009802DF" w:rsidRPr="00A44C71" w:rsidRDefault="009802D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DF" w:rsidRPr="00F17738" w:rsidRDefault="009802D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802DF" w:rsidRPr="00F17738" w:rsidRDefault="009802D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802DF" w:rsidRPr="00F17738" w:rsidRDefault="009802D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2DF" w:rsidRDefault="009802DF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9802DF" w:rsidRPr="006D36F9" w:rsidRDefault="009802DF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9802DF" w:rsidRPr="00F17738" w:rsidRDefault="009802D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802DF" w:rsidRPr="00F17738" w:rsidRDefault="009802D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802DF" w:rsidRPr="00F17738" w:rsidRDefault="009802D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9802DF" w:rsidRPr="006F0BE8" w:rsidRDefault="009802DF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  <w:p w:rsidR="009802DF" w:rsidRPr="00F17738" w:rsidRDefault="009802DF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51BA"/>
    <w:rsid w:val="00005A96"/>
    <w:rsid w:val="000079E4"/>
    <w:rsid w:val="00013A64"/>
    <w:rsid w:val="0002408F"/>
    <w:rsid w:val="000450A1"/>
    <w:rsid w:val="000453F9"/>
    <w:rsid w:val="00050728"/>
    <w:rsid w:val="00056870"/>
    <w:rsid w:val="00076D79"/>
    <w:rsid w:val="000A0822"/>
    <w:rsid w:val="000A11B6"/>
    <w:rsid w:val="000A32BC"/>
    <w:rsid w:val="000A4BA2"/>
    <w:rsid w:val="000A7B89"/>
    <w:rsid w:val="000B3BF8"/>
    <w:rsid w:val="000B3D4A"/>
    <w:rsid w:val="000B5865"/>
    <w:rsid w:val="000C02B1"/>
    <w:rsid w:val="000D4528"/>
    <w:rsid w:val="000E0B3D"/>
    <w:rsid w:val="000E556B"/>
    <w:rsid w:val="000E5816"/>
    <w:rsid w:val="000E6946"/>
    <w:rsid w:val="000E6E24"/>
    <w:rsid w:val="000F2DC6"/>
    <w:rsid w:val="00102158"/>
    <w:rsid w:val="00110484"/>
    <w:rsid w:val="00112EFB"/>
    <w:rsid w:val="001142CD"/>
    <w:rsid w:val="00114CBA"/>
    <w:rsid w:val="001209E1"/>
    <w:rsid w:val="001216CE"/>
    <w:rsid w:val="00123771"/>
    <w:rsid w:val="00123B76"/>
    <w:rsid w:val="00130F82"/>
    <w:rsid w:val="00131EA6"/>
    <w:rsid w:val="00132B87"/>
    <w:rsid w:val="00134E77"/>
    <w:rsid w:val="00144D9E"/>
    <w:rsid w:val="001454B6"/>
    <w:rsid w:val="00150584"/>
    <w:rsid w:val="001507B6"/>
    <w:rsid w:val="00152D54"/>
    <w:rsid w:val="00157C54"/>
    <w:rsid w:val="00171FD9"/>
    <w:rsid w:val="00172DBF"/>
    <w:rsid w:val="001734DC"/>
    <w:rsid w:val="00184530"/>
    <w:rsid w:val="0018564D"/>
    <w:rsid w:val="00195249"/>
    <w:rsid w:val="001A26F1"/>
    <w:rsid w:val="001A5CFF"/>
    <w:rsid w:val="001B0820"/>
    <w:rsid w:val="001B621B"/>
    <w:rsid w:val="001C0CC3"/>
    <w:rsid w:val="001C7543"/>
    <w:rsid w:val="001D1868"/>
    <w:rsid w:val="001D2CDB"/>
    <w:rsid w:val="001F2129"/>
    <w:rsid w:val="00207FC6"/>
    <w:rsid w:val="00211D05"/>
    <w:rsid w:val="0023480D"/>
    <w:rsid w:val="00240866"/>
    <w:rsid w:val="00245C9E"/>
    <w:rsid w:val="002576CB"/>
    <w:rsid w:val="00260A78"/>
    <w:rsid w:val="002613CD"/>
    <w:rsid w:val="002630D8"/>
    <w:rsid w:val="00264325"/>
    <w:rsid w:val="002803A0"/>
    <w:rsid w:val="002929B6"/>
    <w:rsid w:val="002956A9"/>
    <w:rsid w:val="0029603C"/>
    <w:rsid w:val="002A20CC"/>
    <w:rsid w:val="002A4D33"/>
    <w:rsid w:val="002A64F1"/>
    <w:rsid w:val="002A71D3"/>
    <w:rsid w:val="002B325C"/>
    <w:rsid w:val="002B4DA6"/>
    <w:rsid w:val="002B7AC7"/>
    <w:rsid w:val="002B7BFA"/>
    <w:rsid w:val="002C118D"/>
    <w:rsid w:val="002D3B75"/>
    <w:rsid w:val="002F529D"/>
    <w:rsid w:val="003118F1"/>
    <w:rsid w:val="00320044"/>
    <w:rsid w:val="00361CF2"/>
    <w:rsid w:val="00362050"/>
    <w:rsid w:val="00364DCD"/>
    <w:rsid w:val="00365E12"/>
    <w:rsid w:val="00382198"/>
    <w:rsid w:val="00397AC4"/>
    <w:rsid w:val="003C2A31"/>
    <w:rsid w:val="003C6AAE"/>
    <w:rsid w:val="003D2799"/>
    <w:rsid w:val="003D4F5D"/>
    <w:rsid w:val="003E43B4"/>
    <w:rsid w:val="003E4B96"/>
    <w:rsid w:val="003E50A5"/>
    <w:rsid w:val="003F15D7"/>
    <w:rsid w:val="003F1AB5"/>
    <w:rsid w:val="003F66E2"/>
    <w:rsid w:val="003F74D0"/>
    <w:rsid w:val="0040363A"/>
    <w:rsid w:val="00404468"/>
    <w:rsid w:val="00425F8E"/>
    <w:rsid w:val="00432245"/>
    <w:rsid w:val="00441012"/>
    <w:rsid w:val="00441963"/>
    <w:rsid w:val="00441D84"/>
    <w:rsid w:val="0045071B"/>
    <w:rsid w:val="004547BF"/>
    <w:rsid w:val="00456625"/>
    <w:rsid w:val="00473340"/>
    <w:rsid w:val="00473E7D"/>
    <w:rsid w:val="00476B0F"/>
    <w:rsid w:val="00482296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4DAD"/>
    <w:rsid w:val="004F7079"/>
    <w:rsid w:val="00500004"/>
    <w:rsid w:val="00500B29"/>
    <w:rsid w:val="005061B5"/>
    <w:rsid w:val="005072AE"/>
    <w:rsid w:val="00514260"/>
    <w:rsid w:val="00526250"/>
    <w:rsid w:val="00526F46"/>
    <w:rsid w:val="005302CE"/>
    <w:rsid w:val="00533F65"/>
    <w:rsid w:val="00536F5A"/>
    <w:rsid w:val="00543C34"/>
    <w:rsid w:val="005448AB"/>
    <w:rsid w:val="005456EE"/>
    <w:rsid w:val="00547D6D"/>
    <w:rsid w:val="00586083"/>
    <w:rsid w:val="00597380"/>
    <w:rsid w:val="005A79DB"/>
    <w:rsid w:val="005B227D"/>
    <w:rsid w:val="005B4DC3"/>
    <w:rsid w:val="005C134C"/>
    <w:rsid w:val="005C5351"/>
    <w:rsid w:val="005D4C87"/>
    <w:rsid w:val="005D550E"/>
    <w:rsid w:val="005E0BBB"/>
    <w:rsid w:val="00600E53"/>
    <w:rsid w:val="006047BE"/>
    <w:rsid w:val="00614A49"/>
    <w:rsid w:val="0061798D"/>
    <w:rsid w:val="006307D7"/>
    <w:rsid w:val="00631FB1"/>
    <w:rsid w:val="00633AFC"/>
    <w:rsid w:val="00642961"/>
    <w:rsid w:val="006457CF"/>
    <w:rsid w:val="00654989"/>
    <w:rsid w:val="006611CF"/>
    <w:rsid w:val="00661F0B"/>
    <w:rsid w:val="00683EF3"/>
    <w:rsid w:val="00691AA8"/>
    <w:rsid w:val="006A76CA"/>
    <w:rsid w:val="006B4995"/>
    <w:rsid w:val="006C5546"/>
    <w:rsid w:val="006C6A78"/>
    <w:rsid w:val="006D2287"/>
    <w:rsid w:val="006D34F7"/>
    <w:rsid w:val="006D36F9"/>
    <w:rsid w:val="006E0029"/>
    <w:rsid w:val="006F0BE8"/>
    <w:rsid w:val="006F435B"/>
    <w:rsid w:val="006F4393"/>
    <w:rsid w:val="006F78FE"/>
    <w:rsid w:val="006F7B4F"/>
    <w:rsid w:val="00715BB5"/>
    <w:rsid w:val="00720539"/>
    <w:rsid w:val="00721039"/>
    <w:rsid w:val="00721853"/>
    <w:rsid w:val="007420F8"/>
    <w:rsid w:val="00742326"/>
    <w:rsid w:val="00746469"/>
    <w:rsid w:val="00765E37"/>
    <w:rsid w:val="00771B1E"/>
    <w:rsid w:val="00772C01"/>
    <w:rsid w:val="007747B6"/>
    <w:rsid w:val="00783A5E"/>
    <w:rsid w:val="007864F1"/>
    <w:rsid w:val="00797643"/>
    <w:rsid w:val="007C0839"/>
    <w:rsid w:val="007C3759"/>
    <w:rsid w:val="007C4E19"/>
    <w:rsid w:val="007C7231"/>
    <w:rsid w:val="007D720C"/>
    <w:rsid w:val="007D7D60"/>
    <w:rsid w:val="007F3212"/>
    <w:rsid w:val="007F636A"/>
    <w:rsid w:val="00800E49"/>
    <w:rsid w:val="0080143C"/>
    <w:rsid w:val="008045E1"/>
    <w:rsid w:val="008176B2"/>
    <w:rsid w:val="00821BA4"/>
    <w:rsid w:val="00822B0D"/>
    <w:rsid w:val="0083522C"/>
    <w:rsid w:val="00840605"/>
    <w:rsid w:val="008446CD"/>
    <w:rsid w:val="00874DE6"/>
    <w:rsid w:val="00883645"/>
    <w:rsid w:val="0088711B"/>
    <w:rsid w:val="008920B0"/>
    <w:rsid w:val="00896258"/>
    <w:rsid w:val="00896E8C"/>
    <w:rsid w:val="008A060A"/>
    <w:rsid w:val="008A424F"/>
    <w:rsid w:val="008B1883"/>
    <w:rsid w:val="008B617B"/>
    <w:rsid w:val="008C3937"/>
    <w:rsid w:val="008C6DEF"/>
    <w:rsid w:val="008D0767"/>
    <w:rsid w:val="008D26BA"/>
    <w:rsid w:val="008D6717"/>
    <w:rsid w:val="008D7125"/>
    <w:rsid w:val="008E4A96"/>
    <w:rsid w:val="008E7760"/>
    <w:rsid w:val="008F1B66"/>
    <w:rsid w:val="008F5F48"/>
    <w:rsid w:val="0090422E"/>
    <w:rsid w:val="00906898"/>
    <w:rsid w:val="00910A5A"/>
    <w:rsid w:val="00936962"/>
    <w:rsid w:val="009613DC"/>
    <w:rsid w:val="00961415"/>
    <w:rsid w:val="00966A4E"/>
    <w:rsid w:val="00966BBB"/>
    <w:rsid w:val="00967E91"/>
    <w:rsid w:val="009714B0"/>
    <w:rsid w:val="0097546E"/>
    <w:rsid w:val="00977A5F"/>
    <w:rsid w:val="00977A87"/>
    <w:rsid w:val="009802DF"/>
    <w:rsid w:val="00984F8E"/>
    <w:rsid w:val="009900FA"/>
    <w:rsid w:val="00990335"/>
    <w:rsid w:val="009A05EE"/>
    <w:rsid w:val="009A1070"/>
    <w:rsid w:val="009B0C1A"/>
    <w:rsid w:val="009B1EC5"/>
    <w:rsid w:val="009B48FF"/>
    <w:rsid w:val="009B564D"/>
    <w:rsid w:val="009C0E30"/>
    <w:rsid w:val="009C6B13"/>
    <w:rsid w:val="009D63B9"/>
    <w:rsid w:val="009E32AD"/>
    <w:rsid w:val="009F6805"/>
    <w:rsid w:val="009F752B"/>
    <w:rsid w:val="00A12538"/>
    <w:rsid w:val="00A14C9F"/>
    <w:rsid w:val="00A20C78"/>
    <w:rsid w:val="00A23768"/>
    <w:rsid w:val="00A27173"/>
    <w:rsid w:val="00A34AA7"/>
    <w:rsid w:val="00A3721C"/>
    <w:rsid w:val="00A54DDA"/>
    <w:rsid w:val="00A55F55"/>
    <w:rsid w:val="00A643F8"/>
    <w:rsid w:val="00A66992"/>
    <w:rsid w:val="00A708D7"/>
    <w:rsid w:val="00A76415"/>
    <w:rsid w:val="00A9175A"/>
    <w:rsid w:val="00A977AD"/>
    <w:rsid w:val="00AA09F4"/>
    <w:rsid w:val="00AA2A8D"/>
    <w:rsid w:val="00AA4C14"/>
    <w:rsid w:val="00AC17F0"/>
    <w:rsid w:val="00AC2AE0"/>
    <w:rsid w:val="00AC7A23"/>
    <w:rsid w:val="00AD3E26"/>
    <w:rsid w:val="00AE43B7"/>
    <w:rsid w:val="00AE46A1"/>
    <w:rsid w:val="00AE5837"/>
    <w:rsid w:val="00AF0A61"/>
    <w:rsid w:val="00AF125E"/>
    <w:rsid w:val="00B1340F"/>
    <w:rsid w:val="00B139E4"/>
    <w:rsid w:val="00B164DD"/>
    <w:rsid w:val="00B270D9"/>
    <w:rsid w:val="00B3540F"/>
    <w:rsid w:val="00B45E40"/>
    <w:rsid w:val="00B466F2"/>
    <w:rsid w:val="00B53AFD"/>
    <w:rsid w:val="00B6668B"/>
    <w:rsid w:val="00B67561"/>
    <w:rsid w:val="00B70B1A"/>
    <w:rsid w:val="00B71C6F"/>
    <w:rsid w:val="00B74DF6"/>
    <w:rsid w:val="00B76DC3"/>
    <w:rsid w:val="00B81744"/>
    <w:rsid w:val="00B93E3D"/>
    <w:rsid w:val="00B96DE2"/>
    <w:rsid w:val="00B97F01"/>
    <w:rsid w:val="00BA0052"/>
    <w:rsid w:val="00BA375F"/>
    <w:rsid w:val="00BB1A73"/>
    <w:rsid w:val="00BC2B54"/>
    <w:rsid w:val="00BC5FE7"/>
    <w:rsid w:val="00BD22AC"/>
    <w:rsid w:val="00BD2643"/>
    <w:rsid w:val="00BD4058"/>
    <w:rsid w:val="00BF4F29"/>
    <w:rsid w:val="00BF5681"/>
    <w:rsid w:val="00BF7DEC"/>
    <w:rsid w:val="00C00C6F"/>
    <w:rsid w:val="00C03D20"/>
    <w:rsid w:val="00C108BC"/>
    <w:rsid w:val="00C11645"/>
    <w:rsid w:val="00C1516A"/>
    <w:rsid w:val="00C16450"/>
    <w:rsid w:val="00C35791"/>
    <w:rsid w:val="00C4480F"/>
    <w:rsid w:val="00C4636C"/>
    <w:rsid w:val="00C6770A"/>
    <w:rsid w:val="00C70F49"/>
    <w:rsid w:val="00C7427E"/>
    <w:rsid w:val="00C870B8"/>
    <w:rsid w:val="00C900A9"/>
    <w:rsid w:val="00C95498"/>
    <w:rsid w:val="00C96EBA"/>
    <w:rsid w:val="00CA481B"/>
    <w:rsid w:val="00CA4B57"/>
    <w:rsid w:val="00CC439D"/>
    <w:rsid w:val="00CD72EF"/>
    <w:rsid w:val="00CE476C"/>
    <w:rsid w:val="00D04407"/>
    <w:rsid w:val="00D1225B"/>
    <w:rsid w:val="00D15735"/>
    <w:rsid w:val="00D22ED7"/>
    <w:rsid w:val="00D413F1"/>
    <w:rsid w:val="00D47FA5"/>
    <w:rsid w:val="00D51763"/>
    <w:rsid w:val="00D5605B"/>
    <w:rsid w:val="00D6261E"/>
    <w:rsid w:val="00D65513"/>
    <w:rsid w:val="00D700B9"/>
    <w:rsid w:val="00D738A7"/>
    <w:rsid w:val="00D74838"/>
    <w:rsid w:val="00D7697A"/>
    <w:rsid w:val="00D80DBE"/>
    <w:rsid w:val="00D81548"/>
    <w:rsid w:val="00D90D76"/>
    <w:rsid w:val="00D94309"/>
    <w:rsid w:val="00DA3C36"/>
    <w:rsid w:val="00DA49A1"/>
    <w:rsid w:val="00DB2E93"/>
    <w:rsid w:val="00DC2CC0"/>
    <w:rsid w:val="00DD194A"/>
    <w:rsid w:val="00DD5149"/>
    <w:rsid w:val="00DD67C1"/>
    <w:rsid w:val="00DF6351"/>
    <w:rsid w:val="00E01673"/>
    <w:rsid w:val="00E02B7A"/>
    <w:rsid w:val="00E17C54"/>
    <w:rsid w:val="00E2445B"/>
    <w:rsid w:val="00E33130"/>
    <w:rsid w:val="00E358C1"/>
    <w:rsid w:val="00E436DA"/>
    <w:rsid w:val="00E43922"/>
    <w:rsid w:val="00E45475"/>
    <w:rsid w:val="00E4748F"/>
    <w:rsid w:val="00E551FB"/>
    <w:rsid w:val="00E569A0"/>
    <w:rsid w:val="00E61EBD"/>
    <w:rsid w:val="00E73ABC"/>
    <w:rsid w:val="00E76BA0"/>
    <w:rsid w:val="00E832F4"/>
    <w:rsid w:val="00E868B2"/>
    <w:rsid w:val="00E93051"/>
    <w:rsid w:val="00EB04ED"/>
    <w:rsid w:val="00EB524C"/>
    <w:rsid w:val="00EC0A0C"/>
    <w:rsid w:val="00EC0E74"/>
    <w:rsid w:val="00EC6520"/>
    <w:rsid w:val="00ED1040"/>
    <w:rsid w:val="00ED1117"/>
    <w:rsid w:val="00ED47BD"/>
    <w:rsid w:val="00EE24A0"/>
    <w:rsid w:val="00EE3329"/>
    <w:rsid w:val="00F1350C"/>
    <w:rsid w:val="00F21EA0"/>
    <w:rsid w:val="00F37865"/>
    <w:rsid w:val="00F45D66"/>
    <w:rsid w:val="00F52F39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95C48"/>
    <w:rsid w:val="00FB05EB"/>
    <w:rsid w:val="00FC2BA4"/>
    <w:rsid w:val="00FC6F0A"/>
    <w:rsid w:val="00FE0AC5"/>
    <w:rsid w:val="00FF2690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526250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526250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526250"/>
    <w:pPr>
      <w:ind w:right="1922"/>
      <w:jc w:val="both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526250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?q3-2012&amp;L=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12_Q3.15899.0.html?L=0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BD69-D413-4931-93E3-3AC04318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8047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2</cp:revision>
  <cp:lastPrinted>2012-11-12T09:30:00Z</cp:lastPrinted>
  <dcterms:created xsi:type="dcterms:W3CDTF">2012-11-12T09:45:00Z</dcterms:created>
  <dcterms:modified xsi:type="dcterms:W3CDTF">2012-11-12T09:45:00Z</dcterms:modified>
</cp:coreProperties>
</file>