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E6E5B" w14:textId="77777777" w:rsidR="006E0029" w:rsidRPr="00441012" w:rsidRDefault="00E436DA" w:rsidP="00D47FA5">
      <w:pPr>
        <w:pStyle w:val="MMU1"/>
      </w:pPr>
      <w:r>
        <w:t xml:space="preserve">Leoni </w:t>
      </w:r>
      <w:r w:rsidR="00585319">
        <w:t xml:space="preserve">hält </w:t>
      </w:r>
      <w:r w:rsidR="003237A6">
        <w:t xml:space="preserve">2012 </w:t>
      </w:r>
      <w:r w:rsidR="00585319">
        <w:t>trotz Autoflaute in Europa den Gewinn stabil</w:t>
      </w:r>
      <w:r w:rsidR="001D2CDB" w:rsidRPr="00441012">
        <w:t xml:space="preserve"> </w:t>
      </w:r>
    </w:p>
    <w:p w14:paraId="5FAC6D47" w14:textId="77777777" w:rsidR="003F74D0" w:rsidRPr="006F0BE8" w:rsidRDefault="003237A6" w:rsidP="006F0BE8">
      <w:pPr>
        <w:pStyle w:val="MMU2"/>
      </w:pPr>
      <w:r>
        <w:t>Nächster Wachstumsschub ab 2014</w:t>
      </w:r>
    </w:p>
    <w:p w14:paraId="74E91CEC" w14:textId="77777777" w:rsidR="00D04407" w:rsidRPr="006D36F9" w:rsidRDefault="008B1883" w:rsidP="006F0BE8">
      <w:pPr>
        <w:pStyle w:val="MMVorspann"/>
      </w:pPr>
      <w:r>
        <w:t>Nürnberg</w:t>
      </w:r>
      <w:r w:rsidRPr="009A1070">
        <w:t xml:space="preserve">, </w:t>
      </w:r>
      <w:r w:rsidR="00E436DA">
        <w:t>20</w:t>
      </w:r>
      <w:r w:rsidRPr="009A1070">
        <w:t>. M</w:t>
      </w:r>
      <w:r w:rsidR="00E436DA">
        <w:t>ärz</w:t>
      </w:r>
      <w:r w:rsidRPr="009A1070">
        <w:t xml:space="preserve"> 20</w:t>
      </w:r>
      <w:r>
        <w:t>1</w:t>
      </w:r>
      <w:r w:rsidR="003237A6">
        <w:t>3</w:t>
      </w:r>
      <w:r w:rsidRPr="009A1070">
        <w:t xml:space="preserve"> – </w:t>
      </w:r>
      <w:r>
        <w:t>Leoni</w:t>
      </w:r>
      <w:r w:rsidR="00FF1DCB">
        <w:t xml:space="preserve"> konnte</w:t>
      </w:r>
      <w:r w:rsidR="00E436DA">
        <w:t xml:space="preserve"> im Geschäftsjahr </w:t>
      </w:r>
      <w:r w:rsidR="00966BBB">
        <w:t>201</w:t>
      </w:r>
      <w:r w:rsidR="003237A6">
        <w:t xml:space="preserve">2 </w:t>
      </w:r>
      <w:r w:rsidR="00FF1DCB">
        <w:t xml:space="preserve">trotz der rückläufigen Entwicklung des europäischen Automobilsektors </w:t>
      </w:r>
      <w:r w:rsidR="003237A6">
        <w:t xml:space="preserve">seinen </w:t>
      </w:r>
      <w:r w:rsidR="005B5619">
        <w:t xml:space="preserve">Gewinn </w:t>
      </w:r>
      <w:r w:rsidR="003237A6">
        <w:t xml:space="preserve">stabil halten. </w:t>
      </w:r>
      <w:r w:rsidR="00FF1DCB">
        <w:t xml:space="preserve">Der </w:t>
      </w:r>
      <w:r w:rsidR="00FF1DCB" w:rsidRPr="0099285A">
        <w:t xml:space="preserve">führende </w:t>
      </w:r>
      <w:r w:rsidR="00FF1DCB">
        <w:t xml:space="preserve">Anbieter von </w:t>
      </w:r>
      <w:r w:rsidR="00FF1DCB" w:rsidRPr="0099285A">
        <w:t>Kabel</w:t>
      </w:r>
      <w:r w:rsidR="00FF1DCB">
        <w:t>n und Kabels</w:t>
      </w:r>
      <w:r w:rsidR="00FF1DCB" w:rsidRPr="0099285A">
        <w:t>ystem</w:t>
      </w:r>
      <w:r w:rsidR="00FF1DCB">
        <w:t>en</w:t>
      </w:r>
      <w:r w:rsidR="00FF1DCB" w:rsidRPr="0099285A">
        <w:t xml:space="preserve"> für die Automobil</w:t>
      </w:r>
      <w:r w:rsidR="00FF1DCB">
        <w:t>branche</w:t>
      </w:r>
      <w:r w:rsidR="00FF1DCB" w:rsidRPr="0099285A">
        <w:t xml:space="preserve"> und weitere Industrien</w:t>
      </w:r>
      <w:r w:rsidR="00FF1DCB">
        <w:t xml:space="preserve"> erzielt</w:t>
      </w:r>
      <w:r w:rsidR="0049418D">
        <w:t>e</w:t>
      </w:r>
      <w:r w:rsidR="005B5619">
        <w:t xml:space="preserve"> </w:t>
      </w:r>
      <w:r w:rsidR="00FF1DCB">
        <w:t xml:space="preserve">ein Ergebnis vor Zinsen und Steuern (EBIT) von </w:t>
      </w:r>
      <w:r w:rsidR="005B5619">
        <w:t>235,8 Mio. Euro</w:t>
      </w:r>
      <w:r w:rsidR="00FF1DCB">
        <w:t xml:space="preserve"> (</w:t>
      </w:r>
      <w:r w:rsidR="00995F0D">
        <w:t>2011</w:t>
      </w:r>
      <w:r w:rsidR="00FF1DCB">
        <w:t xml:space="preserve">: 237,1 Mio. Euro). Der </w:t>
      </w:r>
      <w:r w:rsidR="0049418D" w:rsidRPr="008C2253">
        <w:t>Konzernüberschuss</w:t>
      </w:r>
      <w:r w:rsidR="00FF1DCB" w:rsidRPr="008C2253">
        <w:t xml:space="preserve"> fiel mit </w:t>
      </w:r>
      <w:r w:rsidR="003237A6" w:rsidRPr="008C2253">
        <w:t xml:space="preserve">156,0 Mio. Euro </w:t>
      </w:r>
      <w:r w:rsidR="009A48B0" w:rsidRPr="008C2253">
        <w:t>genauso hoch aus wie im Vorjahr (2011: 156,0 Mio. Euro).</w:t>
      </w:r>
      <w:r w:rsidR="0049418D" w:rsidRPr="008C2253">
        <w:t xml:space="preserve"> </w:t>
      </w:r>
      <w:r w:rsidR="00AE1DF1" w:rsidRPr="008C2253">
        <w:t xml:space="preserve">Sowohl der Vorsteuergewinn als auch das Nettoergebnis sind durch den Verkauf der Tochtergesellschaft Leoni Studer Hard AG positiv beeinflusst. </w:t>
      </w:r>
      <w:r w:rsidR="0049418D" w:rsidRPr="008C2253">
        <w:t xml:space="preserve">Beim Umsatz hat das Unternehmen nicht zuletzt aufgrund des Anfang 2012 vollständig übernommenen </w:t>
      </w:r>
      <w:r w:rsidR="00AE1DF1" w:rsidRPr="008C2253">
        <w:t>und erstmals</w:t>
      </w:r>
      <w:r w:rsidR="00AE1DF1">
        <w:t xml:space="preserve"> </w:t>
      </w:r>
      <w:r w:rsidR="006C5B9E">
        <w:t>voll</w:t>
      </w:r>
      <w:r w:rsidR="00AE1DF1">
        <w:t xml:space="preserve">konsolidierten </w:t>
      </w:r>
      <w:r w:rsidR="0049418D">
        <w:t xml:space="preserve">Joint-Venture-Partners Daekyeung einen neuen Höchstwert von 3,81 Mrd. Euro erreicht </w:t>
      </w:r>
      <w:r w:rsidR="00AE1DF1">
        <w:t xml:space="preserve">– und </w:t>
      </w:r>
      <w:r w:rsidR="0049418D">
        <w:t>damit den bisherigen Rekord aus dem Vorjahr (2011: 3,70 Mrd. Euro</w:t>
      </w:r>
      <w:r w:rsidR="00664A24">
        <w:t>)</w:t>
      </w:r>
      <w:r w:rsidR="0049418D">
        <w:t xml:space="preserve"> um rund 3 Prozent übertroffen. </w:t>
      </w:r>
      <w:r w:rsidR="009A48B0">
        <w:t xml:space="preserve"> </w:t>
      </w:r>
      <w:r w:rsidR="00D6261E">
        <w:t xml:space="preserve">Leoni beabsichtigt, </w:t>
      </w:r>
      <w:r w:rsidR="00AE1DF1">
        <w:t xml:space="preserve">wiederum </w:t>
      </w:r>
      <w:r w:rsidR="00D6261E">
        <w:t xml:space="preserve">eine Dividende von 1,50 Euro (Vorjahr: </w:t>
      </w:r>
      <w:r w:rsidR="00AE1DF1">
        <w:t>1,5</w:t>
      </w:r>
      <w:r w:rsidR="00D6261E">
        <w:t>0 Euro) auszuschütten.</w:t>
      </w:r>
    </w:p>
    <w:p w14:paraId="2E078BA9" w14:textId="77777777" w:rsidR="00B270D9" w:rsidRDefault="00793DE9" w:rsidP="00966BBB">
      <w:pPr>
        <w:pStyle w:val="MMFlietext"/>
      </w:pPr>
      <w:r>
        <w:t>„</w:t>
      </w:r>
      <w:r w:rsidR="00AE1DF1">
        <w:t xml:space="preserve">Das Geschäftsjahr 2012 </w:t>
      </w:r>
      <w:r w:rsidR="00962661">
        <w:t>w</w:t>
      </w:r>
      <w:r>
        <w:t>ar</w:t>
      </w:r>
      <w:r w:rsidR="00962661">
        <w:t xml:space="preserve"> </w:t>
      </w:r>
      <w:r w:rsidR="00AE1DF1">
        <w:t xml:space="preserve">geprägt durch </w:t>
      </w:r>
      <w:r w:rsidR="00962661">
        <w:t xml:space="preserve">eine unterschiedliche Entwicklung der verschiedenen </w:t>
      </w:r>
      <w:r w:rsidR="001557B0">
        <w:t>Industrien</w:t>
      </w:r>
      <w:r w:rsidR="00962661">
        <w:t>, Kundengruppen und Regionen</w:t>
      </w:r>
      <w:r>
        <w:t>“, sagt Dr. Klaus Probst, Vorstandsvorsitzende</w:t>
      </w:r>
      <w:r w:rsidR="00553180">
        <w:t>r</w:t>
      </w:r>
      <w:r>
        <w:t xml:space="preserve"> der Leoni AG, anlässlich der Bilanzpressekonferenz des Unternehmens. „</w:t>
      </w:r>
      <w:r w:rsidR="00962661">
        <w:t xml:space="preserve">Leoni verzeichnete insgesamt ein </w:t>
      </w:r>
      <w:r>
        <w:t xml:space="preserve">sehr gutes erstes Halbjahr. </w:t>
      </w:r>
      <w:r w:rsidR="00C019EB">
        <w:t>In der zweiten Jahreshälfte</w:t>
      </w:r>
      <w:r>
        <w:t xml:space="preserve"> </w:t>
      </w:r>
      <w:r w:rsidR="00C019EB">
        <w:t xml:space="preserve">wirkte sich </w:t>
      </w:r>
      <w:r w:rsidRPr="007352CD">
        <w:t>die konjunkturelle Abkühlung verschiedene</w:t>
      </w:r>
      <w:r>
        <w:t>r</w:t>
      </w:r>
      <w:r w:rsidRPr="007352CD">
        <w:t xml:space="preserve"> Branchen negativ auf </w:t>
      </w:r>
      <w:r w:rsidR="00C019EB">
        <w:t xml:space="preserve">unser Geschäft </w:t>
      </w:r>
      <w:r w:rsidRPr="007352CD">
        <w:t xml:space="preserve">aus. </w:t>
      </w:r>
      <w:r w:rsidR="00C019EB">
        <w:t xml:space="preserve">Gleichwohl </w:t>
      </w:r>
      <w:r w:rsidR="00E53639">
        <w:t>zeigte</w:t>
      </w:r>
      <w:r w:rsidR="00C019EB">
        <w:t xml:space="preserve"> </w:t>
      </w:r>
      <w:r w:rsidRPr="007352CD">
        <w:t xml:space="preserve">sich die Nachfrage in China, Russland </w:t>
      </w:r>
      <w:r w:rsidR="00E53639">
        <w:t>und</w:t>
      </w:r>
      <w:r w:rsidRPr="007352CD">
        <w:t xml:space="preserve"> den USA ungebrochen dynamisch – und </w:t>
      </w:r>
      <w:r w:rsidR="00E53639">
        <w:t xml:space="preserve">hat </w:t>
      </w:r>
      <w:r w:rsidRPr="007352CD">
        <w:t>damit unser überproportionales Wachstum in diesen Märkten gefestigt</w:t>
      </w:r>
      <w:r>
        <w:t>.“</w:t>
      </w:r>
    </w:p>
    <w:p w14:paraId="7285AB08" w14:textId="77777777" w:rsidR="00E436DA" w:rsidRPr="008B1883" w:rsidRDefault="00E436DA" w:rsidP="00E436DA">
      <w:pPr>
        <w:pStyle w:val="MMZwischenberschrift"/>
      </w:pPr>
      <w:r>
        <w:t>WCS:</w:t>
      </w:r>
      <w:r w:rsidR="00C4480F">
        <w:t xml:space="preserve"> </w:t>
      </w:r>
      <w:r w:rsidR="002B68C4">
        <w:t>Sondereffekt treibt Gewinn</w:t>
      </w:r>
      <w:r w:rsidR="000B3D4A">
        <w:t xml:space="preserve"> </w:t>
      </w:r>
      <w:r>
        <w:t xml:space="preserve"> </w:t>
      </w:r>
    </w:p>
    <w:p w14:paraId="0CFF4D8B" w14:textId="77777777" w:rsidR="00E436DA" w:rsidRDefault="002A71D3" w:rsidP="00B97F01">
      <w:pPr>
        <w:pStyle w:val="MMFlietext"/>
      </w:pPr>
      <w:r>
        <w:t>D</w:t>
      </w:r>
      <w:r w:rsidR="00553180">
        <w:t xml:space="preserve">ie für den </w:t>
      </w:r>
      <w:r w:rsidR="000B3D4A" w:rsidRPr="003A4093">
        <w:t>Unternehmensbereich Wire &amp; Cable Solutions</w:t>
      </w:r>
      <w:r w:rsidR="00C4480F">
        <w:t xml:space="preserve"> (WCS)</w:t>
      </w:r>
      <w:r w:rsidR="000B3D4A" w:rsidRPr="003A4093">
        <w:t xml:space="preserve"> </w:t>
      </w:r>
      <w:r w:rsidR="00553180">
        <w:t>wichtigen Absatzmärkte entwickelten sich 2012 sehr unterschiedlich</w:t>
      </w:r>
      <w:r w:rsidR="002B68C4">
        <w:t xml:space="preserve">. </w:t>
      </w:r>
      <w:r w:rsidR="00553180">
        <w:t>D</w:t>
      </w:r>
      <w:r w:rsidR="002B68C4">
        <w:t>as Geschäft mit Automobilkabeln</w:t>
      </w:r>
      <w:r w:rsidR="00553180">
        <w:t xml:space="preserve"> war über das gesamte Jahr von einer sehr guten Nachfrage </w:t>
      </w:r>
      <w:r w:rsidR="00553180">
        <w:lastRenderedPageBreak/>
        <w:t>gekennzeichnet</w:t>
      </w:r>
      <w:r w:rsidR="002B68C4">
        <w:t>; dagegen h</w:t>
      </w:r>
      <w:r w:rsidR="002B68C4" w:rsidRPr="007352CD">
        <w:t xml:space="preserve">at sich </w:t>
      </w:r>
      <w:r w:rsidR="002B68C4">
        <w:t xml:space="preserve">der </w:t>
      </w:r>
      <w:r w:rsidR="002B68C4" w:rsidRPr="007352CD">
        <w:t>Bereich Kommunikation &amp; Infrastruktur rückläufig entwickelt</w:t>
      </w:r>
      <w:r w:rsidR="002B68C4">
        <w:t xml:space="preserve">. </w:t>
      </w:r>
      <w:r w:rsidR="000B3D4A" w:rsidRPr="00BB4E8F">
        <w:t xml:space="preserve">Der Außenumsatz des </w:t>
      </w:r>
      <w:r w:rsidR="00553180">
        <w:t>Unternehmensbereichs</w:t>
      </w:r>
      <w:r w:rsidR="000B3D4A" w:rsidRPr="00BB4E8F">
        <w:t xml:space="preserve"> </w:t>
      </w:r>
      <w:r w:rsidR="002B68C4">
        <w:t xml:space="preserve">verringerte sich </w:t>
      </w:r>
      <w:r w:rsidR="000B3D4A">
        <w:t xml:space="preserve">im Berichtsjahr </w:t>
      </w:r>
      <w:r w:rsidR="00077B36">
        <w:t xml:space="preserve">leicht </w:t>
      </w:r>
      <w:r w:rsidR="000B3D4A" w:rsidRPr="00BB4E8F">
        <w:t>auf</w:t>
      </w:r>
      <w:r w:rsidR="00B97F01">
        <w:t xml:space="preserve"> </w:t>
      </w:r>
      <w:r w:rsidR="00077B36">
        <w:t>1.602,6</w:t>
      </w:r>
      <w:r w:rsidR="002B68C4">
        <w:t xml:space="preserve"> </w:t>
      </w:r>
      <w:r w:rsidR="00B97F01" w:rsidRPr="00B97F01">
        <w:t xml:space="preserve">Mio. </w:t>
      </w:r>
      <w:r w:rsidR="00B97F01">
        <w:t>Euro</w:t>
      </w:r>
      <w:r w:rsidR="00B97F01" w:rsidRPr="00BB4E8F">
        <w:t xml:space="preserve"> </w:t>
      </w:r>
      <w:r w:rsidR="00B97F01">
        <w:t>(</w:t>
      </w:r>
      <w:r w:rsidR="006C5B9E">
        <w:t>2011</w:t>
      </w:r>
      <w:r w:rsidR="00B97F01">
        <w:t xml:space="preserve">: </w:t>
      </w:r>
      <w:r w:rsidR="002B68C4" w:rsidRPr="00B97F01">
        <w:t xml:space="preserve">1.677,7 </w:t>
      </w:r>
      <w:r w:rsidR="000B3D4A" w:rsidRPr="00BB4E8F">
        <w:t xml:space="preserve">Mio. </w:t>
      </w:r>
      <w:r w:rsidR="000B3D4A">
        <w:t>Euro</w:t>
      </w:r>
      <w:r w:rsidR="000B3D4A" w:rsidRPr="00FA6E82">
        <w:t>)</w:t>
      </w:r>
      <w:r w:rsidR="000B3D4A">
        <w:t xml:space="preserve">. </w:t>
      </w:r>
      <w:r w:rsidR="000B3D4A" w:rsidRPr="00FA6E82">
        <w:t xml:space="preserve">Das </w:t>
      </w:r>
      <w:r w:rsidR="00B97F01">
        <w:t>Bereichs-</w:t>
      </w:r>
      <w:r w:rsidR="000B3D4A" w:rsidRPr="00FA6E82">
        <w:t xml:space="preserve">EBIT </w:t>
      </w:r>
      <w:r w:rsidR="00984F8E">
        <w:t xml:space="preserve">profitierte von </w:t>
      </w:r>
      <w:r w:rsidR="002B68C4">
        <w:t>dem Einmaleffekt von 28,3 Mio. E</w:t>
      </w:r>
      <w:r w:rsidR="002B68C4" w:rsidRPr="002B68C4">
        <w:t xml:space="preserve">uro aus dem Verkauf der Tochtergesellschaft Leoni Studer Hard AG und stieg </w:t>
      </w:r>
      <w:r w:rsidR="00984F8E">
        <w:t xml:space="preserve">um </w:t>
      </w:r>
      <w:r w:rsidR="00077B36">
        <w:t>gut 11</w:t>
      </w:r>
      <w:r w:rsidR="00984F8E">
        <w:t xml:space="preserve"> Prozent </w:t>
      </w:r>
      <w:r w:rsidR="00B97F01">
        <w:t xml:space="preserve">auf </w:t>
      </w:r>
      <w:r w:rsidR="00077B36">
        <w:t>101,3</w:t>
      </w:r>
      <w:r w:rsidR="00984F8E">
        <w:t xml:space="preserve"> Mio. Euro (</w:t>
      </w:r>
      <w:r w:rsidR="006C5B9E">
        <w:t>2011</w:t>
      </w:r>
      <w:r w:rsidR="00984F8E">
        <w:t xml:space="preserve">: </w:t>
      </w:r>
      <w:r w:rsidR="00077B36">
        <w:t>90,9 Mi</w:t>
      </w:r>
      <w:r w:rsidR="000B3D4A">
        <w:t>o. Euro</w:t>
      </w:r>
      <w:r w:rsidR="000B3D4A" w:rsidRPr="00FA6E82">
        <w:t>)</w:t>
      </w:r>
      <w:r w:rsidR="000B3D4A">
        <w:t>.</w:t>
      </w:r>
      <w:r w:rsidR="00E436DA">
        <w:t xml:space="preserve"> </w:t>
      </w:r>
    </w:p>
    <w:p w14:paraId="394E75E2" w14:textId="77777777" w:rsidR="00E436DA" w:rsidRPr="008B1883" w:rsidRDefault="00E436DA" w:rsidP="00E436DA">
      <w:pPr>
        <w:pStyle w:val="MMZwischenberschrift"/>
      </w:pPr>
      <w:r>
        <w:t xml:space="preserve">WSD: </w:t>
      </w:r>
      <w:r w:rsidR="004B4584">
        <w:t xml:space="preserve">Weiteres </w:t>
      </w:r>
      <w:r w:rsidR="00C4480F">
        <w:t>Wachstum in China, Russland und den USA</w:t>
      </w:r>
    </w:p>
    <w:p w14:paraId="120D3546" w14:textId="77777777" w:rsidR="004B4584" w:rsidRDefault="00560D63" w:rsidP="006C5B9E">
      <w:pPr>
        <w:pStyle w:val="MMFlietext"/>
      </w:pPr>
      <w:r>
        <w:t xml:space="preserve">Der </w:t>
      </w:r>
      <w:r w:rsidRPr="00240866">
        <w:t xml:space="preserve">Unternehmensbereich Wiring Systems </w:t>
      </w:r>
      <w:r>
        <w:t xml:space="preserve">(WSD) konnte im Berichtsjahr </w:t>
      </w:r>
      <w:r w:rsidR="004B4584">
        <w:t xml:space="preserve">vor allem in China, Russland und den USA </w:t>
      </w:r>
      <w:r>
        <w:t>weiter expandieren</w:t>
      </w:r>
      <w:r w:rsidR="006C5B9E">
        <w:t xml:space="preserve"> und den Umsatz um </w:t>
      </w:r>
      <w:r w:rsidR="006C5B9E" w:rsidRPr="006C5B9E">
        <w:t>9 Prozent auf 2.206,4 Mio.</w:t>
      </w:r>
      <w:r w:rsidR="006C5B9E">
        <w:t xml:space="preserve"> Euro (</w:t>
      </w:r>
      <w:r w:rsidR="008C2253">
        <w:t>2011</w:t>
      </w:r>
      <w:r w:rsidR="006C5B9E">
        <w:t xml:space="preserve">: </w:t>
      </w:r>
      <w:r w:rsidR="006C5B9E" w:rsidRPr="00AA4C14">
        <w:t>2.023,8 Mio</w:t>
      </w:r>
      <w:r w:rsidR="006C5B9E">
        <w:t xml:space="preserve">. Euro) steigern. Etwa zwei Drittel des Zuwachses, nämlich </w:t>
      </w:r>
      <w:r w:rsidR="006C5B9E" w:rsidRPr="006C5B9E">
        <w:t>120,5 Mio.</w:t>
      </w:r>
      <w:r w:rsidR="006C5B9E">
        <w:t xml:space="preserve"> Euro, entfielen </w:t>
      </w:r>
      <w:r w:rsidR="006C5B9E" w:rsidRPr="006C5B9E">
        <w:t xml:space="preserve">auf </w:t>
      </w:r>
      <w:r w:rsidR="006C5B9E">
        <w:t xml:space="preserve">die neu hinzu gekommenen </w:t>
      </w:r>
      <w:r w:rsidR="006C5B9E" w:rsidRPr="006C5B9E">
        <w:t>Daekyeung</w:t>
      </w:r>
      <w:r w:rsidR="006C5B9E">
        <w:t xml:space="preserve">-Geschäfte. </w:t>
      </w:r>
      <w:r w:rsidR="006C5B9E" w:rsidRPr="007352CD">
        <w:t>Allerdings hat die Tochter</w:t>
      </w:r>
      <w:r w:rsidR="00995F0D">
        <w:t>-</w:t>
      </w:r>
      <w:r w:rsidR="006C5B9E" w:rsidRPr="007352CD">
        <w:t>gesellschaft wegen hoher Integrationskosten</w:t>
      </w:r>
      <w:r w:rsidR="00356E80">
        <w:t>, einer noch nicht auf Konzernniveau befindlichen Performance</w:t>
      </w:r>
      <w:r w:rsidR="006C5B9E" w:rsidRPr="007352CD">
        <w:t xml:space="preserve"> und einer </w:t>
      </w:r>
      <w:r w:rsidR="006C5B9E">
        <w:t xml:space="preserve">zwischenzeitlich </w:t>
      </w:r>
      <w:r w:rsidR="006C5B9E" w:rsidRPr="007352CD">
        <w:t xml:space="preserve">abgeschwächten lokalen Nachfrage das Ergebnis des </w:t>
      </w:r>
      <w:r w:rsidR="004B4584">
        <w:t xml:space="preserve">Segments mit </w:t>
      </w:r>
      <w:r w:rsidR="004B4584" w:rsidRPr="004B4584">
        <w:t xml:space="preserve">25,1 Mio. </w:t>
      </w:r>
      <w:r w:rsidR="004B4584">
        <w:t>Euro</w:t>
      </w:r>
      <w:r w:rsidR="004B4584" w:rsidRPr="004B4584">
        <w:t xml:space="preserve"> </w:t>
      </w:r>
      <w:r w:rsidR="006C5B9E" w:rsidRPr="007352CD">
        <w:t>negativ belastet</w:t>
      </w:r>
      <w:r w:rsidR="004B4584">
        <w:t xml:space="preserve">. Im Berichtsjahr belief sich das Bereichs-EBIT auf </w:t>
      </w:r>
      <w:r w:rsidR="004B4584" w:rsidRPr="004B4584">
        <w:t xml:space="preserve">134,5 Mio. </w:t>
      </w:r>
      <w:r w:rsidR="004B4584">
        <w:t xml:space="preserve">Euro </w:t>
      </w:r>
      <w:r w:rsidR="004B4584" w:rsidRPr="004B4584">
        <w:t xml:space="preserve">nach 146,2 Mio. </w:t>
      </w:r>
      <w:r w:rsidR="004B4584">
        <w:t xml:space="preserve">Euro </w:t>
      </w:r>
      <w:r w:rsidR="004B4584" w:rsidRPr="004B4584">
        <w:t>im Vorjahr</w:t>
      </w:r>
      <w:r w:rsidR="004B4584">
        <w:t>.</w:t>
      </w:r>
    </w:p>
    <w:p w14:paraId="1FC16D90" w14:textId="77777777" w:rsidR="00E436DA" w:rsidRPr="00D5108C" w:rsidRDefault="005B227D" w:rsidP="00E436DA">
      <w:pPr>
        <w:pStyle w:val="MMZwischenberschrift"/>
      </w:pPr>
      <w:r w:rsidRPr="00D5108C">
        <w:t xml:space="preserve">Kapitalfluss: </w:t>
      </w:r>
      <w:r w:rsidR="00BD64D4">
        <w:t xml:space="preserve">Investitionssumme auf </w:t>
      </w:r>
      <w:r w:rsidR="003E50A5" w:rsidRPr="00D5108C">
        <w:t>Rekord</w:t>
      </w:r>
      <w:r w:rsidR="00BD64D4">
        <w:t>höhe</w:t>
      </w:r>
      <w:r w:rsidR="00B6668B" w:rsidRPr="00D5108C">
        <w:t xml:space="preserve"> </w:t>
      </w:r>
    </w:p>
    <w:p w14:paraId="5A94EA74" w14:textId="77777777" w:rsidR="00BD64D4" w:rsidRPr="00D5108C" w:rsidRDefault="003E50A5" w:rsidP="00951375">
      <w:pPr>
        <w:pStyle w:val="MMFlietext"/>
      </w:pPr>
      <w:r w:rsidRPr="00D5108C">
        <w:t xml:space="preserve">Leoni </w:t>
      </w:r>
      <w:r w:rsidR="00BD64D4" w:rsidRPr="00D5108C">
        <w:t xml:space="preserve">investierte </w:t>
      </w:r>
      <w:r w:rsidR="00BD64D4">
        <w:t xml:space="preserve">im Geschäftsjahr 2012 insgesamt </w:t>
      </w:r>
      <w:r w:rsidRPr="00D5108C">
        <w:t xml:space="preserve">die Rekordsumme von </w:t>
      </w:r>
      <w:r w:rsidR="00BD64D4" w:rsidRPr="00BD64D4">
        <w:t xml:space="preserve">180,9 Mio. </w:t>
      </w:r>
      <w:r w:rsidR="00BD64D4">
        <w:t>Euro</w:t>
      </w:r>
      <w:r w:rsidR="00951375">
        <w:t xml:space="preserve"> </w:t>
      </w:r>
      <w:r w:rsidR="00951375" w:rsidRPr="00BD64D4">
        <w:t>(2011:</w:t>
      </w:r>
      <w:r w:rsidR="00951375" w:rsidRPr="00D5108C">
        <w:t xml:space="preserve"> </w:t>
      </w:r>
      <w:r w:rsidR="00E07055">
        <w:t>140,1</w:t>
      </w:r>
      <w:r w:rsidR="00951375">
        <w:t xml:space="preserve"> </w:t>
      </w:r>
      <w:r w:rsidR="00951375" w:rsidRPr="00D5108C">
        <w:t>Mio. Euro</w:t>
      </w:r>
      <w:r w:rsidR="00951375">
        <w:t xml:space="preserve">), </w:t>
      </w:r>
      <w:r w:rsidR="00BD64D4" w:rsidRPr="00BD64D4">
        <w:t>was einem Plus von 29 Prozent entspricht</w:t>
      </w:r>
      <w:r w:rsidR="00E07055">
        <w:t>.</w:t>
      </w:r>
      <w:r w:rsidR="00BD64D4" w:rsidRPr="00BD64D4">
        <w:t xml:space="preserve"> Hiervon </w:t>
      </w:r>
      <w:r w:rsidR="00BD64D4">
        <w:t xml:space="preserve">entfielen </w:t>
      </w:r>
      <w:r w:rsidR="00BD64D4" w:rsidRPr="00BD64D4">
        <w:t xml:space="preserve">154,2 Mio. </w:t>
      </w:r>
      <w:r w:rsidR="00BD64D4">
        <w:t>Euro (</w:t>
      </w:r>
      <w:r w:rsidR="008C2253">
        <w:t>2011</w:t>
      </w:r>
      <w:r w:rsidR="00BD64D4">
        <w:t xml:space="preserve">: </w:t>
      </w:r>
      <w:r w:rsidR="00951375" w:rsidRPr="00D5108C">
        <w:t xml:space="preserve">137,4 </w:t>
      </w:r>
      <w:r w:rsidR="00BD64D4">
        <w:t xml:space="preserve"> Mio. Euro) auf </w:t>
      </w:r>
      <w:r w:rsidR="00BD64D4" w:rsidRPr="00BD64D4">
        <w:t>Sachanlagen und immaterielle Vermögenswerte</w:t>
      </w:r>
      <w:r w:rsidR="00BD64D4">
        <w:t xml:space="preserve">; die restlichen </w:t>
      </w:r>
      <w:r w:rsidR="00BD64D4" w:rsidRPr="00BD64D4">
        <w:t xml:space="preserve">26,7 Mio. </w:t>
      </w:r>
      <w:r w:rsidR="00BD64D4">
        <w:t>Euro</w:t>
      </w:r>
      <w:r w:rsidR="00E07055">
        <w:t xml:space="preserve"> (2011: 2,7 Mio. Euro)</w:t>
      </w:r>
      <w:r w:rsidR="00BD64D4">
        <w:t xml:space="preserve"> wurden im Wesentlichen für </w:t>
      </w:r>
      <w:r w:rsidR="0065348D">
        <w:t>den Erwerb der restlichen Anteile an</w:t>
      </w:r>
      <w:r w:rsidR="00BD64D4">
        <w:t xml:space="preserve"> </w:t>
      </w:r>
      <w:r w:rsidR="00BD64D4" w:rsidRPr="00BD64D4">
        <w:t>Daekyeung verwendet</w:t>
      </w:r>
      <w:r w:rsidR="00BD64D4">
        <w:t xml:space="preserve">. Trotz der gestiegenen </w:t>
      </w:r>
      <w:r w:rsidR="00951375">
        <w:t xml:space="preserve">Investitionssumme </w:t>
      </w:r>
      <w:r w:rsidR="00951375" w:rsidRPr="00951375">
        <w:t xml:space="preserve">erwirtschaftete der Konzern auf Basis der guten Ertragslage einen Mittelzufluss aus laufender Geschäftstätigkeit von 211,7 Mio. Euro (2011: </w:t>
      </w:r>
      <w:r w:rsidR="00E07055">
        <w:t>246,1</w:t>
      </w:r>
      <w:r w:rsidR="00951375" w:rsidRPr="00951375">
        <w:t xml:space="preserve"> Mio. Euro). Der </w:t>
      </w:r>
      <w:r w:rsidR="00951375" w:rsidRPr="00D5108C">
        <w:t>Free Cashflow vor Akquisitionen</w:t>
      </w:r>
      <w:r w:rsidR="00951375">
        <w:t xml:space="preserve"> und Desinvestitionen lag mit </w:t>
      </w:r>
      <w:r w:rsidR="00BD64D4">
        <w:t xml:space="preserve">63,5 Mio. Euro </w:t>
      </w:r>
      <w:r w:rsidR="00BD64D4" w:rsidRPr="00D5108C">
        <w:t>(</w:t>
      </w:r>
      <w:r w:rsidR="008C2253">
        <w:t>2011</w:t>
      </w:r>
      <w:r w:rsidR="00BD64D4" w:rsidRPr="00D5108C">
        <w:t xml:space="preserve">: 121,2 Mio. Euro) </w:t>
      </w:r>
      <w:r w:rsidR="00BD64D4">
        <w:t>im Rahmen der Erwartungen.</w:t>
      </w:r>
    </w:p>
    <w:p w14:paraId="1DF34660" w14:textId="77777777" w:rsidR="003E50A5" w:rsidRPr="00D5108C" w:rsidRDefault="003E50A5" w:rsidP="003E50A5">
      <w:pPr>
        <w:pStyle w:val="MMZwischenberschrift"/>
      </w:pPr>
      <w:r w:rsidRPr="00D5108C">
        <w:t xml:space="preserve">Finanzlage: </w:t>
      </w:r>
      <w:r w:rsidR="00C428F9">
        <w:t>Verschuldungs</w:t>
      </w:r>
      <w:r w:rsidR="00E55BEA">
        <w:t>g</w:t>
      </w:r>
      <w:bookmarkStart w:id="0" w:name="_GoBack"/>
      <w:bookmarkEnd w:id="0"/>
      <w:r w:rsidR="00C428F9">
        <w:t xml:space="preserve">rad gesunken, Refinanzierung gesichert </w:t>
      </w:r>
      <w:r w:rsidRPr="00D5108C">
        <w:t xml:space="preserve"> </w:t>
      </w:r>
    </w:p>
    <w:p w14:paraId="18DF8960" w14:textId="77777777" w:rsidR="009E0942" w:rsidRDefault="00E07055" w:rsidP="00E07055">
      <w:pPr>
        <w:pStyle w:val="MMFlietext"/>
      </w:pPr>
      <w:r>
        <w:t xml:space="preserve">Leoni </w:t>
      </w:r>
      <w:r w:rsidR="00FF18F8">
        <w:t>konnte</w:t>
      </w:r>
      <w:r>
        <w:t xml:space="preserve"> </w:t>
      </w:r>
      <w:r w:rsidR="00FF18F8">
        <w:t xml:space="preserve">aufgrund der positiven Ertragsentwicklung </w:t>
      </w:r>
      <w:r>
        <w:t xml:space="preserve">sein Eigenkapital </w:t>
      </w:r>
      <w:r w:rsidR="00FF18F8">
        <w:t xml:space="preserve">bis zum Ende des Berichtsjahrs auf 845,1 Mio. Euro (31.12.2011: </w:t>
      </w:r>
      <w:r w:rsidR="00FF18F8" w:rsidRPr="00FF18F8">
        <w:t xml:space="preserve">737,5 Mio. Euro) </w:t>
      </w:r>
      <w:r>
        <w:lastRenderedPageBreak/>
        <w:t xml:space="preserve">weiter </w:t>
      </w:r>
      <w:r w:rsidR="00FF18F8">
        <w:t xml:space="preserve">deutlich </w:t>
      </w:r>
      <w:r>
        <w:t>aufstock</w:t>
      </w:r>
      <w:r w:rsidR="00FF18F8">
        <w:t xml:space="preserve">en. Die </w:t>
      </w:r>
      <w:r w:rsidR="00FF18F8" w:rsidRPr="00D5108C">
        <w:t xml:space="preserve">Eigenkapitalquote stieg </w:t>
      </w:r>
      <w:r w:rsidR="00F6392A">
        <w:t>zum 31. Dezember</w:t>
      </w:r>
      <w:r w:rsidR="00726628">
        <w:t xml:space="preserve"> </w:t>
      </w:r>
      <w:r w:rsidR="00F6392A">
        <w:t xml:space="preserve">2012 </w:t>
      </w:r>
      <w:r w:rsidR="00FF18F8" w:rsidRPr="00D5108C">
        <w:t>auf 3</w:t>
      </w:r>
      <w:r w:rsidR="00F6392A">
        <w:t>5</w:t>
      </w:r>
      <w:r w:rsidR="00FF18F8" w:rsidRPr="00D5108C">
        <w:t>,</w:t>
      </w:r>
      <w:r w:rsidR="00F6392A">
        <w:t>4</w:t>
      </w:r>
      <w:r w:rsidR="00FF18F8" w:rsidRPr="00D5108C">
        <w:t xml:space="preserve"> Prozent (</w:t>
      </w:r>
      <w:r w:rsidR="008C2253">
        <w:t>31.12.2011</w:t>
      </w:r>
      <w:r w:rsidR="00FF18F8" w:rsidRPr="00D5108C">
        <w:t>: 3</w:t>
      </w:r>
      <w:r w:rsidR="00077D0C">
        <w:t>1</w:t>
      </w:r>
      <w:r w:rsidR="00FF18F8" w:rsidRPr="00D5108C">
        <w:t>,8 Prozent)</w:t>
      </w:r>
      <w:r w:rsidR="00077D0C">
        <w:t xml:space="preserve"> und </w:t>
      </w:r>
      <w:r w:rsidR="00F6392A" w:rsidRPr="007352CD">
        <w:t>hat damit den höchsten Wert seit 2005 erreicht</w:t>
      </w:r>
      <w:r w:rsidR="00356E80">
        <w:t>.</w:t>
      </w:r>
      <w:r w:rsidR="00F6392A">
        <w:t xml:space="preserve"> </w:t>
      </w:r>
      <w:r w:rsidR="00FF18F8">
        <w:t>Di</w:t>
      </w:r>
      <w:r w:rsidR="00B6668B" w:rsidRPr="00D5108C">
        <w:t>e Nettofinanz</w:t>
      </w:r>
      <w:r w:rsidR="00EB524C" w:rsidRPr="00D5108C">
        <w:t>schulden</w:t>
      </w:r>
      <w:r w:rsidR="00B6668B" w:rsidRPr="00D5108C">
        <w:t xml:space="preserve"> </w:t>
      </w:r>
      <w:r w:rsidR="00340E9C">
        <w:t xml:space="preserve">erhöhten sich </w:t>
      </w:r>
      <w:r w:rsidR="00FF18F8">
        <w:t>binnen Jahres</w:t>
      </w:r>
      <w:r w:rsidR="009E0942">
        <w:t>-</w:t>
      </w:r>
      <w:r w:rsidR="00FF18F8">
        <w:t xml:space="preserve">frist leicht von </w:t>
      </w:r>
      <w:r w:rsidR="00340E9C" w:rsidRPr="00D5108C">
        <w:t xml:space="preserve">233,9 Mio. Euro </w:t>
      </w:r>
      <w:r w:rsidR="00FF18F8">
        <w:t xml:space="preserve">auf </w:t>
      </w:r>
      <w:r w:rsidR="00FF18F8" w:rsidRPr="00340E9C">
        <w:t xml:space="preserve">249,2 Mio. </w:t>
      </w:r>
      <w:r w:rsidR="00340E9C">
        <w:t xml:space="preserve">Euro. Der Verschuldungsgrad </w:t>
      </w:r>
      <w:r w:rsidR="008A424F" w:rsidRPr="00D5108C">
        <w:t xml:space="preserve">(Gearing) </w:t>
      </w:r>
      <w:r w:rsidR="00340E9C">
        <w:t xml:space="preserve">hat sich das dritte Mal in Folge verbessert und </w:t>
      </w:r>
      <w:r w:rsidR="008A424F" w:rsidRPr="00D5108C">
        <w:t xml:space="preserve">betrug </w:t>
      </w:r>
      <w:r w:rsidR="009E0942">
        <w:t xml:space="preserve">am </w:t>
      </w:r>
      <w:r w:rsidR="00B164DD" w:rsidRPr="00D5108C">
        <w:t xml:space="preserve">Jahresende </w:t>
      </w:r>
      <w:r w:rsidR="00340E9C">
        <w:t>29</w:t>
      </w:r>
      <w:r w:rsidR="008A424F" w:rsidRPr="00D5108C">
        <w:t xml:space="preserve"> Prozent </w:t>
      </w:r>
      <w:r w:rsidR="00B164DD" w:rsidRPr="00D5108C">
        <w:t>(</w:t>
      </w:r>
      <w:r w:rsidR="00340E9C">
        <w:t>31.12.2011</w:t>
      </w:r>
      <w:r w:rsidR="00B164DD" w:rsidRPr="00D5108C">
        <w:t xml:space="preserve">: </w:t>
      </w:r>
      <w:r w:rsidR="00340E9C">
        <w:t>3</w:t>
      </w:r>
      <w:r w:rsidR="001904D1">
        <w:t>2</w:t>
      </w:r>
      <w:r w:rsidR="008A424F" w:rsidRPr="00D5108C">
        <w:t xml:space="preserve"> Prozent</w:t>
      </w:r>
      <w:r w:rsidR="00B164DD" w:rsidRPr="00D5108C">
        <w:t>). D</w:t>
      </w:r>
      <w:r w:rsidR="003E50A5" w:rsidRPr="00D5108C">
        <w:t xml:space="preserve">ie </w:t>
      </w:r>
      <w:r w:rsidR="00340E9C">
        <w:t>Gesamtk</w:t>
      </w:r>
      <w:r w:rsidR="003E50A5" w:rsidRPr="00D5108C">
        <w:t>apitalrendite (</w:t>
      </w:r>
      <w:r w:rsidR="00B164DD" w:rsidRPr="00D5108C">
        <w:t>ROCE</w:t>
      </w:r>
      <w:r w:rsidR="003E50A5" w:rsidRPr="00D5108C">
        <w:t xml:space="preserve">) </w:t>
      </w:r>
      <w:r w:rsidR="00C428F9">
        <w:t>lag am 31. Dezember 2012 mit 20,8 Prozent (31.12.2011: 24,0 Prozent) weiterhin über dem langfristigen Zielwert von 20 Prozent.</w:t>
      </w:r>
      <w:r w:rsidRPr="00E07055">
        <w:t xml:space="preserve"> </w:t>
      </w:r>
    </w:p>
    <w:p w14:paraId="52A5D9B4" w14:textId="77777777" w:rsidR="00B164DD" w:rsidRPr="00D5108C" w:rsidRDefault="00C428F9" w:rsidP="00E07055">
      <w:pPr>
        <w:pStyle w:val="MMFlietext"/>
      </w:pPr>
      <w:r>
        <w:t xml:space="preserve">Leoni hat 2012 </w:t>
      </w:r>
      <w:r w:rsidRPr="007352CD">
        <w:t xml:space="preserve">ein Schuldscheindarlehen in Höhe von 250 Mio. Euro zu attraktiven Zinskonditionen ausgegeben </w:t>
      </w:r>
      <w:r>
        <w:t xml:space="preserve">und damit </w:t>
      </w:r>
      <w:r w:rsidRPr="007352CD">
        <w:t xml:space="preserve">vorzeitig die langfristige Refinanzierung des Konzerns </w:t>
      </w:r>
      <w:r>
        <w:t>ge</w:t>
      </w:r>
      <w:r w:rsidRPr="007352CD">
        <w:t>sicher</w:t>
      </w:r>
      <w:r>
        <w:t>t</w:t>
      </w:r>
      <w:r w:rsidRPr="007352CD">
        <w:t xml:space="preserve">. </w:t>
      </w:r>
      <w:r>
        <w:t xml:space="preserve">Darüber hinaus </w:t>
      </w:r>
      <w:r w:rsidR="002C2359">
        <w:t xml:space="preserve">wurde </w:t>
      </w:r>
      <w:r w:rsidRPr="007352CD">
        <w:t xml:space="preserve">ein Förderdarlehen von 100 Mio. Euro </w:t>
      </w:r>
      <w:r>
        <w:t>bei der</w:t>
      </w:r>
      <w:r w:rsidRPr="007352CD">
        <w:t xml:space="preserve"> Europäische</w:t>
      </w:r>
      <w:r>
        <w:t>n</w:t>
      </w:r>
      <w:r w:rsidRPr="007352CD">
        <w:t xml:space="preserve"> Investitionsbank </w:t>
      </w:r>
      <w:r>
        <w:t xml:space="preserve">beantragt, das </w:t>
      </w:r>
      <w:r w:rsidR="002C2359">
        <w:t xml:space="preserve">mittlerweile genehmigt ist und zur </w:t>
      </w:r>
      <w:r w:rsidRPr="007352CD">
        <w:t xml:space="preserve">Entwicklung von Kabelsystemen für energieeffiziente Fahrzeuge </w:t>
      </w:r>
      <w:r w:rsidR="002C2359">
        <w:t>eingesetzt werden wird</w:t>
      </w:r>
      <w:r w:rsidRPr="007352CD">
        <w:t>.</w:t>
      </w:r>
    </w:p>
    <w:p w14:paraId="3F9DA036" w14:textId="77777777" w:rsidR="00E436DA" w:rsidRPr="00D5108C" w:rsidRDefault="00E436DA" w:rsidP="00E436DA">
      <w:pPr>
        <w:pStyle w:val="MMZwischenberschrift"/>
      </w:pPr>
      <w:r w:rsidRPr="00D5108C">
        <w:t xml:space="preserve">Prognose: </w:t>
      </w:r>
      <w:r w:rsidR="00F9437E" w:rsidRPr="00D5108C">
        <w:t>Wachstum</w:t>
      </w:r>
      <w:r w:rsidR="0001653D">
        <w:t>sschub nach Übergangsjahr</w:t>
      </w:r>
      <w:r w:rsidR="00F9437E" w:rsidRPr="00D5108C">
        <w:t xml:space="preserve"> </w:t>
      </w:r>
    </w:p>
    <w:p w14:paraId="1D181EF2" w14:textId="77777777" w:rsidR="00CC7504" w:rsidRDefault="00990335" w:rsidP="00C34BE7">
      <w:pPr>
        <w:pStyle w:val="MMFlietext"/>
      </w:pPr>
      <w:r w:rsidRPr="00D5108C">
        <w:t xml:space="preserve">Leoni geht davon aus, </w:t>
      </w:r>
      <w:r w:rsidR="0001653D">
        <w:t xml:space="preserve">dass 2013 ein Übergangsjahr zur Vorbereitung des nächsten Wachstumsschubs sein wird. </w:t>
      </w:r>
      <w:r w:rsidR="00C34BE7">
        <w:t xml:space="preserve">Das Unternehmen hat </w:t>
      </w:r>
      <w:r w:rsidR="00C34BE7" w:rsidRPr="007352CD">
        <w:t>ein Investitionsvolumen von 190 Mio. Euro</w:t>
      </w:r>
      <w:r w:rsidR="00C34BE7">
        <w:t xml:space="preserve"> veranschlagt</w:t>
      </w:r>
      <w:r w:rsidR="00C34BE7" w:rsidRPr="007352CD">
        <w:t xml:space="preserve">. </w:t>
      </w:r>
      <w:r w:rsidR="00C34BE7">
        <w:t>Gemäß einer konservativen Prognose werden sich i</w:t>
      </w:r>
      <w:r w:rsidR="00CC7504">
        <w:t>n diesem Geschäftsj</w:t>
      </w:r>
      <w:r w:rsidR="00C34BE7">
        <w:t>ahr d</w:t>
      </w:r>
      <w:r w:rsidR="0001653D">
        <w:t xml:space="preserve">er Umsatz auf ca. 3,7 Mrd. Euro </w:t>
      </w:r>
      <w:r w:rsidR="00C34BE7">
        <w:t xml:space="preserve">und das </w:t>
      </w:r>
      <w:r w:rsidR="0001653D" w:rsidRPr="007352CD">
        <w:t xml:space="preserve">EBIT </w:t>
      </w:r>
      <w:r w:rsidR="00C34BE7">
        <w:t xml:space="preserve">auf </w:t>
      </w:r>
      <w:r w:rsidR="00356E80">
        <w:t xml:space="preserve">ca. </w:t>
      </w:r>
      <w:r w:rsidR="0001653D" w:rsidRPr="007352CD">
        <w:t>170 Mio. Euro</w:t>
      </w:r>
      <w:r w:rsidR="00C34BE7">
        <w:t xml:space="preserve"> belaufen. </w:t>
      </w:r>
      <w:r w:rsidR="00CC7504">
        <w:t>D</w:t>
      </w:r>
      <w:r w:rsidR="00CC7504" w:rsidRPr="007352CD">
        <w:t xml:space="preserve">ie vorsichtige Ergebnisprognose </w:t>
      </w:r>
      <w:r w:rsidR="00CC7504">
        <w:t xml:space="preserve">ist </w:t>
      </w:r>
      <w:r w:rsidR="008C2253">
        <w:t>durch</w:t>
      </w:r>
      <w:r w:rsidR="00CC7504">
        <w:t xml:space="preserve"> </w:t>
      </w:r>
      <w:r w:rsidR="00C34BE7">
        <w:t xml:space="preserve">fehlende Deckungsbeiträge aus dem </w:t>
      </w:r>
      <w:r w:rsidR="0001653D" w:rsidRPr="007352CD">
        <w:t xml:space="preserve">niedrigeren Umsatz </w:t>
      </w:r>
      <w:r w:rsidR="008C2253">
        <w:t>sowie</w:t>
      </w:r>
      <w:r w:rsidR="00CC7504">
        <w:t xml:space="preserve"> </w:t>
      </w:r>
      <w:r w:rsidR="0001653D" w:rsidRPr="007352CD">
        <w:t>hohe Vorlaufkosten für 16 anstehende Produktionsanläufe im Bordnetz-Bereich</w:t>
      </w:r>
      <w:r w:rsidR="00CC7504">
        <w:t xml:space="preserve"> begründet</w:t>
      </w:r>
      <w:r w:rsidR="0001653D" w:rsidRPr="007352CD">
        <w:t>.</w:t>
      </w:r>
    </w:p>
    <w:p w14:paraId="4167EFE6" w14:textId="77777777" w:rsidR="00C34BE7" w:rsidRDefault="00CC7504" w:rsidP="00C34BE7">
      <w:pPr>
        <w:pStyle w:val="MMFlietext"/>
      </w:pPr>
      <w:r>
        <w:t>Leoni ist zuversichtlich</w:t>
      </w:r>
      <w:r w:rsidR="00C34BE7" w:rsidRPr="007352CD">
        <w:t>, ab 2014 eine</w:t>
      </w:r>
      <w:r>
        <w:t>n</w:t>
      </w:r>
      <w:r w:rsidR="00C34BE7" w:rsidRPr="007352CD">
        <w:t xml:space="preserve"> deutliche</w:t>
      </w:r>
      <w:r>
        <w:t xml:space="preserve">n Zuwachs von </w:t>
      </w:r>
      <w:r w:rsidR="00C34BE7" w:rsidRPr="007352CD">
        <w:t>Umsatz und Ergebnis</w:t>
      </w:r>
      <w:r>
        <w:t xml:space="preserve"> </w:t>
      </w:r>
      <w:r w:rsidR="00C34BE7" w:rsidRPr="007352CD">
        <w:t>z</w:t>
      </w:r>
      <w:r>
        <w:t xml:space="preserve">u </w:t>
      </w:r>
      <w:r w:rsidR="00C34BE7" w:rsidRPr="007352CD">
        <w:t>erreichen</w:t>
      </w:r>
      <w:r>
        <w:t xml:space="preserve"> und im Jahr </w:t>
      </w:r>
      <w:r w:rsidRPr="007352CD">
        <w:t xml:space="preserve">2016 </w:t>
      </w:r>
      <w:r>
        <w:t xml:space="preserve">die Erlöse auf </w:t>
      </w:r>
      <w:r w:rsidR="00356E80">
        <w:t xml:space="preserve">rund </w:t>
      </w:r>
      <w:r>
        <w:t xml:space="preserve">5 Mrd. </w:t>
      </w:r>
      <w:r w:rsidR="00726628">
        <w:t xml:space="preserve">Euro </w:t>
      </w:r>
      <w:r>
        <w:t xml:space="preserve">zu steigern. Dabei wird sich </w:t>
      </w:r>
      <w:r w:rsidR="00C34BE7" w:rsidRPr="007352CD">
        <w:t xml:space="preserve">die weitere Verschiebung des Geschäfts bemerkbar machen – weg von Europa, hin zu den Emerging Markets und der NAFTA-Region. </w:t>
      </w:r>
      <w:r>
        <w:t>D</w:t>
      </w:r>
      <w:r w:rsidR="00C34BE7" w:rsidRPr="007352CD">
        <w:t xml:space="preserve">er Anteil der BRIC-Staaten inklusive Südkorea </w:t>
      </w:r>
      <w:r>
        <w:t xml:space="preserve">sollte </w:t>
      </w:r>
      <w:r w:rsidR="00CE1CD9">
        <w:t xml:space="preserve">2016 </w:t>
      </w:r>
      <w:r w:rsidR="00C34BE7" w:rsidRPr="007352CD">
        <w:t>mindestens 20 Prozent vom Konzernumsatz ausmachen</w:t>
      </w:r>
      <w:r>
        <w:t xml:space="preserve">. </w:t>
      </w:r>
      <w:r w:rsidR="00C34BE7" w:rsidRPr="007352CD">
        <w:t>Weiterhin gilt das Ziel, mittelfristig eine EBIT-Marge von 7 Prozent zu erzielen.</w:t>
      </w:r>
      <w:r w:rsidR="00C34BE7">
        <w:t xml:space="preserve"> </w:t>
      </w:r>
    </w:p>
    <w:p w14:paraId="4B6B170E" w14:textId="77777777" w:rsidR="005456EE" w:rsidRDefault="005456EE" w:rsidP="005456EE">
      <w:pPr>
        <w:spacing w:after="120"/>
        <w:ind w:right="1922"/>
        <w:rPr>
          <w:rFonts w:ascii="Arial" w:hAnsi="Arial" w:cs="Arial"/>
          <w:i/>
          <w:sz w:val="21"/>
          <w:szCs w:val="21"/>
        </w:rPr>
      </w:pPr>
      <w:r w:rsidRPr="006D36F9">
        <w:rPr>
          <w:rFonts w:ascii="Arial" w:hAnsi="Arial" w:cs="Arial"/>
          <w:i/>
          <w:sz w:val="21"/>
          <w:szCs w:val="21"/>
        </w:rPr>
        <w:t>(</w:t>
      </w:r>
      <w:r w:rsidR="00CE1CD9">
        <w:rPr>
          <w:rFonts w:ascii="Arial" w:hAnsi="Arial" w:cs="Arial"/>
          <w:i/>
          <w:sz w:val="21"/>
          <w:szCs w:val="21"/>
        </w:rPr>
        <w:t>6.</w:t>
      </w:r>
      <w:r w:rsidR="00356E80">
        <w:rPr>
          <w:rFonts w:ascii="Arial" w:hAnsi="Arial" w:cs="Arial"/>
          <w:i/>
          <w:sz w:val="21"/>
          <w:szCs w:val="21"/>
        </w:rPr>
        <w:t>167</w:t>
      </w:r>
      <w:r w:rsidRPr="006D36F9">
        <w:rPr>
          <w:rFonts w:ascii="Arial" w:hAnsi="Arial" w:cs="Arial"/>
          <w:i/>
          <w:sz w:val="21"/>
          <w:szCs w:val="21"/>
        </w:rPr>
        <w:t xml:space="preserve"> Anschläge inkl.</w:t>
      </w:r>
      <w:r>
        <w:rPr>
          <w:rFonts w:ascii="Arial" w:hAnsi="Arial" w:cs="Arial"/>
          <w:i/>
          <w:sz w:val="21"/>
          <w:szCs w:val="21"/>
        </w:rPr>
        <w:t xml:space="preserve"> Leerzeichen)</w:t>
      </w:r>
    </w:p>
    <w:p w14:paraId="66605F62" w14:textId="77777777" w:rsidR="005456EE" w:rsidRPr="009714B0" w:rsidRDefault="00F9437E" w:rsidP="005456EE">
      <w:pPr>
        <w:pStyle w:val="MMKurzprofilberschrift"/>
        <w:spacing w:after="120"/>
      </w:pPr>
      <w:r>
        <w:br w:type="page"/>
      </w:r>
      <w:r w:rsidR="005456EE" w:rsidRPr="009714B0">
        <w:lastRenderedPageBreak/>
        <w:t>Leoni-Konzernzahlen im Überblick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276"/>
        <w:gridCol w:w="1276"/>
        <w:gridCol w:w="1276"/>
      </w:tblGrid>
      <w:tr w:rsidR="005456EE" w:rsidRPr="00DF6351" w14:paraId="66E9EA7C" w14:textId="77777777" w:rsidTr="00E436DA">
        <w:tc>
          <w:tcPr>
            <w:tcW w:w="4077" w:type="dxa"/>
          </w:tcPr>
          <w:p w14:paraId="1A3810A4" w14:textId="77777777" w:rsidR="005456EE" w:rsidRPr="00DF6351" w:rsidRDefault="005456EE" w:rsidP="00E436DA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F6351">
              <w:rPr>
                <w:rFonts w:ascii="Arial" w:hAnsi="Arial" w:cs="Arial"/>
                <w:b/>
                <w:sz w:val="18"/>
                <w:szCs w:val="18"/>
              </w:rPr>
              <w:t>Kennzahlen Konzern</w:t>
            </w:r>
          </w:p>
        </w:tc>
        <w:tc>
          <w:tcPr>
            <w:tcW w:w="1276" w:type="dxa"/>
          </w:tcPr>
          <w:p w14:paraId="73E3157A" w14:textId="77777777" w:rsidR="005456EE" w:rsidRPr="00DF6351" w:rsidRDefault="005456EE" w:rsidP="00CC7504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F6351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C750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69BBE879" w14:textId="77777777" w:rsidR="005456EE" w:rsidRPr="00DF6351" w:rsidRDefault="005456EE" w:rsidP="00CC7504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F6351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C750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68D24D3C" w14:textId="77777777" w:rsidR="005456EE" w:rsidRPr="00DF6351" w:rsidRDefault="005456EE" w:rsidP="00E436DA">
            <w:pPr>
              <w:tabs>
                <w:tab w:val="left" w:pos="8505"/>
              </w:tabs>
              <w:ind w:left="-13"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DF6351">
              <w:rPr>
                <w:rFonts w:ascii="Arial" w:hAnsi="Arial" w:cs="Arial"/>
                <w:b/>
                <w:sz w:val="18"/>
                <w:szCs w:val="18"/>
              </w:rPr>
              <w:t>Veränderung</w:t>
            </w:r>
          </w:p>
        </w:tc>
      </w:tr>
      <w:tr w:rsidR="00CE1CD9" w:rsidRPr="00DF6351" w14:paraId="1CA3FAA2" w14:textId="77777777" w:rsidTr="00CE1CD9">
        <w:trPr>
          <w:trHeight w:val="284"/>
        </w:trPr>
        <w:tc>
          <w:tcPr>
            <w:tcW w:w="4077" w:type="dxa"/>
            <w:vAlign w:val="center"/>
          </w:tcPr>
          <w:p w14:paraId="36D58245" w14:textId="77777777" w:rsidR="00CE1CD9" w:rsidRPr="00DF6351" w:rsidRDefault="00CE1CD9" w:rsidP="00E436DA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DF6351">
              <w:rPr>
                <w:rFonts w:ascii="Arial" w:hAnsi="Arial" w:cs="Arial"/>
                <w:sz w:val="18"/>
                <w:szCs w:val="18"/>
              </w:rPr>
              <w:t>msatz</w:t>
            </w:r>
            <w:r>
              <w:rPr>
                <w:rFonts w:ascii="Arial" w:hAnsi="Arial" w:cs="Arial"/>
                <w:sz w:val="18"/>
                <w:szCs w:val="18"/>
              </w:rPr>
              <w:t>erlöse</w:t>
            </w:r>
            <w:r w:rsidRPr="00DF6351">
              <w:rPr>
                <w:rFonts w:ascii="Arial" w:hAnsi="Arial" w:cs="Arial"/>
                <w:sz w:val="18"/>
                <w:szCs w:val="18"/>
              </w:rPr>
              <w:t xml:space="preserve"> [in Mio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F6351">
              <w:rPr>
                <w:rFonts w:ascii="Arial" w:hAnsi="Arial" w:cs="Arial"/>
                <w:sz w:val="18"/>
                <w:szCs w:val="18"/>
              </w:rPr>
              <w:t xml:space="preserve"> €]</w:t>
            </w:r>
          </w:p>
        </w:tc>
        <w:tc>
          <w:tcPr>
            <w:tcW w:w="1276" w:type="dxa"/>
            <w:vAlign w:val="center"/>
          </w:tcPr>
          <w:p w14:paraId="37F36822" w14:textId="77777777" w:rsidR="00CE1CD9" w:rsidRPr="00CE1CD9" w:rsidRDefault="00CE1CD9" w:rsidP="00CE1CD9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CE1CD9">
              <w:rPr>
                <w:rFonts w:ascii="Arial" w:hAnsi="Arial" w:cs="Arial"/>
                <w:sz w:val="18"/>
                <w:szCs w:val="18"/>
              </w:rPr>
              <w:t>3.809,0</w:t>
            </w:r>
          </w:p>
        </w:tc>
        <w:tc>
          <w:tcPr>
            <w:tcW w:w="1276" w:type="dxa"/>
            <w:vAlign w:val="center"/>
          </w:tcPr>
          <w:p w14:paraId="0FEEBCBE" w14:textId="77777777" w:rsidR="00CE1CD9" w:rsidRPr="008920B0" w:rsidRDefault="00CE1CD9" w:rsidP="00E53639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8176B2">
              <w:rPr>
                <w:rFonts w:ascii="Arial" w:hAnsi="Arial" w:cs="Arial"/>
                <w:sz w:val="18"/>
                <w:szCs w:val="18"/>
              </w:rPr>
              <w:t>3.701,5</w:t>
            </w:r>
          </w:p>
        </w:tc>
        <w:tc>
          <w:tcPr>
            <w:tcW w:w="1276" w:type="dxa"/>
            <w:vAlign w:val="center"/>
          </w:tcPr>
          <w:p w14:paraId="54CB7713" w14:textId="77777777" w:rsidR="00CE1CD9" w:rsidRPr="00CE1CD9" w:rsidRDefault="00CE1CD9" w:rsidP="00CE1CD9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CE1CD9">
              <w:rPr>
                <w:rFonts w:ascii="Arial" w:hAnsi="Arial" w:cs="Arial"/>
                <w:sz w:val="18"/>
                <w:szCs w:val="18"/>
              </w:rPr>
              <w:t>+2,9 %</w:t>
            </w:r>
          </w:p>
        </w:tc>
      </w:tr>
      <w:tr w:rsidR="00CE1CD9" w:rsidRPr="00DF6351" w14:paraId="3D8F89D0" w14:textId="77777777" w:rsidTr="00CE1CD9">
        <w:trPr>
          <w:trHeight w:val="284"/>
        </w:trPr>
        <w:tc>
          <w:tcPr>
            <w:tcW w:w="4077" w:type="dxa"/>
            <w:vAlign w:val="center"/>
          </w:tcPr>
          <w:p w14:paraId="59D2CD73" w14:textId="77777777" w:rsidR="00CE1CD9" w:rsidRPr="00DF6351" w:rsidRDefault="00CE1CD9" w:rsidP="00E436DA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DF6351">
              <w:rPr>
                <w:rFonts w:ascii="Arial" w:hAnsi="Arial" w:cs="Arial"/>
                <w:sz w:val="18"/>
                <w:szCs w:val="18"/>
              </w:rPr>
              <w:t>EBIT [in Mio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F6351">
              <w:rPr>
                <w:rFonts w:ascii="Arial" w:hAnsi="Arial" w:cs="Arial"/>
                <w:sz w:val="18"/>
                <w:szCs w:val="18"/>
              </w:rPr>
              <w:t xml:space="preserve"> €]</w:t>
            </w:r>
          </w:p>
        </w:tc>
        <w:tc>
          <w:tcPr>
            <w:tcW w:w="1276" w:type="dxa"/>
            <w:vAlign w:val="center"/>
          </w:tcPr>
          <w:p w14:paraId="0720A240" w14:textId="77777777" w:rsidR="00CE1CD9" w:rsidRPr="00CE1CD9" w:rsidRDefault="00CE1CD9" w:rsidP="00CE1CD9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CE1CD9">
              <w:rPr>
                <w:rFonts w:ascii="Arial" w:hAnsi="Arial" w:cs="Arial"/>
                <w:sz w:val="18"/>
                <w:szCs w:val="18"/>
              </w:rPr>
              <w:t>235,8</w:t>
            </w:r>
          </w:p>
        </w:tc>
        <w:tc>
          <w:tcPr>
            <w:tcW w:w="1276" w:type="dxa"/>
            <w:vAlign w:val="center"/>
          </w:tcPr>
          <w:p w14:paraId="09FD3331" w14:textId="77777777" w:rsidR="00CE1CD9" w:rsidRPr="008920B0" w:rsidRDefault="00CE1CD9" w:rsidP="00E53639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8176B2">
              <w:rPr>
                <w:rFonts w:ascii="Arial" w:hAnsi="Arial" w:cs="Arial"/>
                <w:sz w:val="18"/>
                <w:szCs w:val="18"/>
              </w:rPr>
              <w:t>237,1</w:t>
            </w:r>
          </w:p>
        </w:tc>
        <w:tc>
          <w:tcPr>
            <w:tcW w:w="1276" w:type="dxa"/>
            <w:vAlign w:val="center"/>
          </w:tcPr>
          <w:p w14:paraId="51A18C48" w14:textId="77777777" w:rsidR="00CE1CD9" w:rsidRPr="00CE1CD9" w:rsidRDefault="00CE1CD9" w:rsidP="00CE1CD9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CE1CD9">
              <w:rPr>
                <w:rFonts w:ascii="Arial" w:hAnsi="Arial" w:cs="Arial"/>
                <w:sz w:val="18"/>
                <w:szCs w:val="18"/>
              </w:rPr>
              <w:t>-0,5 %</w:t>
            </w:r>
          </w:p>
        </w:tc>
      </w:tr>
      <w:tr w:rsidR="00CE1CD9" w:rsidRPr="00DF6351" w14:paraId="07DAF4D4" w14:textId="77777777" w:rsidTr="00CE1CD9">
        <w:trPr>
          <w:trHeight w:val="284"/>
        </w:trPr>
        <w:tc>
          <w:tcPr>
            <w:tcW w:w="4077" w:type="dxa"/>
            <w:vAlign w:val="center"/>
          </w:tcPr>
          <w:p w14:paraId="46A6BA5E" w14:textId="77777777" w:rsidR="00CE1CD9" w:rsidRPr="00DF6351" w:rsidRDefault="00CE1CD9" w:rsidP="00E436DA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DF6351">
              <w:rPr>
                <w:rFonts w:ascii="Arial" w:hAnsi="Arial" w:cs="Arial"/>
                <w:sz w:val="18"/>
                <w:szCs w:val="18"/>
              </w:rPr>
              <w:t>Bereinigtes EBIT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6351">
              <w:rPr>
                <w:rFonts w:ascii="Arial" w:hAnsi="Arial" w:cs="Arial"/>
                <w:sz w:val="18"/>
                <w:szCs w:val="18"/>
              </w:rPr>
              <w:t>* [in Mio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F6351">
              <w:rPr>
                <w:rFonts w:ascii="Arial" w:hAnsi="Arial" w:cs="Arial"/>
                <w:sz w:val="18"/>
                <w:szCs w:val="18"/>
              </w:rPr>
              <w:t xml:space="preserve"> €]</w:t>
            </w:r>
          </w:p>
        </w:tc>
        <w:tc>
          <w:tcPr>
            <w:tcW w:w="1276" w:type="dxa"/>
            <w:vAlign w:val="center"/>
          </w:tcPr>
          <w:p w14:paraId="05487EC5" w14:textId="77777777" w:rsidR="00CE1CD9" w:rsidRPr="00CE1CD9" w:rsidRDefault="00CE1CD9" w:rsidP="00CE1CD9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CE1CD9">
              <w:rPr>
                <w:rFonts w:ascii="Arial" w:hAnsi="Arial" w:cs="Arial"/>
                <w:sz w:val="18"/>
                <w:szCs w:val="18"/>
              </w:rPr>
              <w:t>225,4</w:t>
            </w:r>
          </w:p>
        </w:tc>
        <w:tc>
          <w:tcPr>
            <w:tcW w:w="1276" w:type="dxa"/>
            <w:vAlign w:val="center"/>
          </w:tcPr>
          <w:p w14:paraId="4933FE25" w14:textId="77777777" w:rsidR="00CE1CD9" w:rsidRPr="005713F0" w:rsidRDefault="00CE1CD9" w:rsidP="00E53639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8176B2">
              <w:rPr>
                <w:rFonts w:ascii="Arial" w:hAnsi="Arial" w:cs="Arial"/>
                <w:sz w:val="18"/>
                <w:szCs w:val="18"/>
              </w:rPr>
              <w:t>260,3</w:t>
            </w:r>
          </w:p>
        </w:tc>
        <w:tc>
          <w:tcPr>
            <w:tcW w:w="1276" w:type="dxa"/>
            <w:vAlign w:val="center"/>
          </w:tcPr>
          <w:p w14:paraId="6AA99C38" w14:textId="77777777" w:rsidR="00CE1CD9" w:rsidRPr="00CE1CD9" w:rsidRDefault="00CE1CD9" w:rsidP="00CE1CD9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CE1CD9">
              <w:rPr>
                <w:rFonts w:ascii="Arial" w:hAnsi="Arial" w:cs="Arial"/>
                <w:sz w:val="18"/>
                <w:szCs w:val="18"/>
              </w:rPr>
              <w:t>-13,4</w:t>
            </w:r>
            <w:r w:rsidR="007947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1CD9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CE1CD9" w:rsidRPr="00DF6351" w14:paraId="18F5ACFF" w14:textId="77777777" w:rsidTr="00CE1CD9">
        <w:trPr>
          <w:trHeight w:val="284"/>
        </w:trPr>
        <w:tc>
          <w:tcPr>
            <w:tcW w:w="4077" w:type="dxa"/>
            <w:vAlign w:val="center"/>
          </w:tcPr>
          <w:p w14:paraId="75EF0C61" w14:textId="77777777" w:rsidR="00CE1CD9" w:rsidRPr="00DF6351" w:rsidRDefault="00CE1CD9" w:rsidP="002D3B75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DF6351">
              <w:rPr>
                <w:rFonts w:ascii="Arial" w:hAnsi="Arial" w:cs="Arial"/>
                <w:sz w:val="18"/>
                <w:szCs w:val="18"/>
              </w:rPr>
              <w:t>EBIT</w:t>
            </w:r>
            <w:r>
              <w:rPr>
                <w:rFonts w:ascii="Arial" w:hAnsi="Arial" w:cs="Arial"/>
                <w:sz w:val="18"/>
                <w:szCs w:val="18"/>
              </w:rPr>
              <w:t>-Marge</w:t>
            </w:r>
            <w:r w:rsidRPr="00DF6351">
              <w:rPr>
                <w:rFonts w:ascii="Arial" w:hAnsi="Arial" w:cs="Arial"/>
                <w:sz w:val="18"/>
                <w:szCs w:val="18"/>
              </w:rPr>
              <w:t xml:space="preserve"> [in %]</w:t>
            </w:r>
          </w:p>
        </w:tc>
        <w:tc>
          <w:tcPr>
            <w:tcW w:w="1276" w:type="dxa"/>
            <w:vAlign w:val="center"/>
          </w:tcPr>
          <w:p w14:paraId="6EBADB3F" w14:textId="77777777" w:rsidR="00CE1CD9" w:rsidRPr="00CE1CD9" w:rsidRDefault="00CE1CD9" w:rsidP="00CE1CD9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CE1CD9">
              <w:rPr>
                <w:rFonts w:ascii="Arial" w:hAnsi="Arial" w:cs="Arial"/>
                <w:sz w:val="18"/>
                <w:szCs w:val="18"/>
              </w:rPr>
              <w:t>6,2</w:t>
            </w:r>
          </w:p>
        </w:tc>
        <w:tc>
          <w:tcPr>
            <w:tcW w:w="1276" w:type="dxa"/>
            <w:vAlign w:val="center"/>
          </w:tcPr>
          <w:p w14:paraId="117A0364" w14:textId="77777777" w:rsidR="00CE1CD9" w:rsidRPr="008920B0" w:rsidRDefault="00CE1CD9" w:rsidP="00E53639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6,4</w:t>
            </w:r>
          </w:p>
        </w:tc>
        <w:tc>
          <w:tcPr>
            <w:tcW w:w="1276" w:type="dxa"/>
            <w:vAlign w:val="center"/>
          </w:tcPr>
          <w:p w14:paraId="10E0BE6A" w14:textId="77777777" w:rsidR="00CE1CD9" w:rsidRPr="00CE1CD9" w:rsidRDefault="00CE1CD9" w:rsidP="00CE1CD9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</w:tr>
      <w:tr w:rsidR="00CE1CD9" w:rsidRPr="008920B0" w14:paraId="0B3FC112" w14:textId="77777777" w:rsidTr="00CE1CD9">
        <w:trPr>
          <w:trHeight w:val="284"/>
        </w:trPr>
        <w:tc>
          <w:tcPr>
            <w:tcW w:w="4077" w:type="dxa"/>
            <w:vAlign w:val="center"/>
          </w:tcPr>
          <w:p w14:paraId="23FA66DD" w14:textId="77777777" w:rsidR="00CE1CD9" w:rsidRPr="00DF6351" w:rsidRDefault="00CE1CD9" w:rsidP="003D4F5D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Konzern</w:t>
            </w:r>
            <w:r w:rsidRPr="00DF6351">
              <w:rPr>
                <w:rFonts w:ascii="Arial" w:hAnsi="Arial" w:cs="Arial"/>
                <w:sz w:val="18"/>
                <w:szCs w:val="18"/>
              </w:rPr>
              <w:t>überschuss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6351">
              <w:rPr>
                <w:rFonts w:ascii="Arial" w:hAnsi="Arial" w:cs="Arial"/>
                <w:sz w:val="18"/>
                <w:szCs w:val="18"/>
              </w:rPr>
              <w:t>[in Mio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F6351">
              <w:rPr>
                <w:rFonts w:ascii="Arial" w:hAnsi="Arial" w:cs="Arial"/>
                <w:sz w:val="18"/>
                <w:szCs w:val="18"/>
              </w:rPr>
              <w:t xml:space="preserve"> €]</w:t>
            </w:r>
          </w:p>
        </w:tc>
        <w:tc>
          <w:tcPr>
            <w:tcW w:w="1276" w:type="dxa"/>
            <w:vAlign w:val="center"/>
          </w:tcPr>
          <w:p w14:paraId="5848F6EA" w14:textId="77777777" w:rsidR="00CE1CD9" w:rsidRPr="00CE1CD9" w:rsidRDefault="00CE1CD9" w:rsidP="00CE1CD9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CE1CD9">
              <w:rPr>
                <w:rFonts w:ascii="Arial" w:hAnsi="Arial" w:cs="Arial"/>
                <w:sz w:val="18"/>
                <w:szCs w:val="18"/>
              </w:rPr>
              <w:t>156,0</w:t>
            </w:r>
          </w:p>
        </w:tc>
        <w:tc>
          <w:tcPr>
            <w:tcW w:w="1276" w:type="dxa"/>
            <w:vAlign w:val="center"/>
          </w:tcPr>
          <w:p w14:paraId="0235458E" w14:textId="77777777" w:rsidR="00CE1CD9" w:rsidRPr="008920B0" w:rsidRDefault="00CE1CD9" w:rsidP="00E53639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8176B2">
              <w:rPr>
                <w:rFonts w:ascii="Arial" w:hAnsi="Arial" w:cs="Arial"/>
                <w:sz w:val="18"/>
                <w:szCs w:val="18"/>
              </w:rPr>
              <w:t>156,0</w:t>
            </w:r>
          </w:p>
        </w:tc>
        <w:tc>
          <w:tcPr>
            <w:tcW w:w="1276" w:type="dxa"/>
            <w:vAlign w:val="center"/>
          </w:tcPr>
          <w:p w14:paraId="50BA0432" w14:textId="77777777" w:rsidR="00CE1CD9" w:rsidRPr="00CE1CD9" w:rsidRDefault="00CE1CD9" w:rsidP="00CE1CD9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CE1CD9">
              <w:rPr>
                <w:rFonts w:ascii="Arial" w:hAnsi="Arial" w:cs="Arial"/>
                <w:sz w:val="18"/>
                <w:szCs w:val="18"/>
              </w:rPr>
              <w:t>0,0 %</w:t>
            </w:r>
          </w:p>
        </w:tc>
      </w:tr>
      <w:tr w:rsidR="00CE1CD9" w:rsidRPr="00DF6351" w14:paraId="337AABDF" w14:textId="77777777" w:rsidTr="00CE1CD9">
        <w:trPr>
          <w:trHeight w:val="284"/>
        </w:trPr>
        <w:tc>
          <w:tcPr>
            <w:tcW w:w="4077" w:type="dxa"/>
            <w:vAlign w:val="center"/>
          </w:tcPr>
          <w:p w14:paraId="27DE7DEC" w14:textId="77777777" w:rsidR="00CE1CD9" w:rsidRPr="00DF6351" w:rsidRDefault="00CE1CD9" w:rsidP="00E436DA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DF6351">
              <w:rPr>
                <w:rFonts w:ascii="Arial" w:hAnsi="Arial" w:cs="Arial"/>
                <w:sz w:val="18"/>
                <w:szCs w:val="18"/>
              </w:rPr>
              <w:t xml:space="preserve">Free Cashflow </w:t>
            </w:r>
            <w:r>
              <w:rPr>
                <w:rFonts w:ascii="Arial" w:hAnsi="Arial" w:cs="Arial"/>
                <w:sz w:val="18"/>
                <w:szCs w:val="18"/>
              </w:rPr>
              <w:t xml:space="preserve">** </w:t>
            </w:r>
            <w:r w:rsidRPr="00DF6351">
              <w:rPr>
                <w:rFonts w:ascii="Arial" w:hAnsi="Arial" w:cs="Arial"/>
                <w:sz w:val="18"/>
                <w:szCs w:val="18"/>
              </w:rPr>
              <w:t>[in Mio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F6351">
              <w:rPr>
                <w:rFonts w:ascii="Arial" w:hAnsi="Arial" w:cs="Arial"/>
                <w:sz w:val="18"/>
                <w:szCs w:val="18"/>
              </w:rPr>
              <w:t xml:space="preserve"> €]</w:t>
            </w:r>
          </w:p>
        </w:tc>
        <w:tc>
          <w:tcPr>
            <w:tcW w:w="1276" w:type="dxa"/>
            <w:vAlign w:val="center"/>
          </w:tcPr>
          <w:p w14:paraId="1D918AEC" w14:textId="77777777" w:rsidR="00CE1CD9" w:rsidRPr="00CE1CD9" w:rsidRDefault="00CE1CD9" w:rsidP="00CE1CD9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CE1CD9">
              <w:rPr>
                <w:rFonts w:ascii="Arial" w:hAnsi="Arial" w:cs="Arial"/>
                <w:sz w:val="18"/>
                <w:szCs w:val="18"/>
              </w:rPr>
              <w:t>63,5</w:t>
            </w:r>
          </w:p>
        </w:tc>
        <w:tc>
          <w:tcPr>
            <w:tcW w:w="1276" w:type="dxa"/>
            <w:vAlign w:val="center"/>
          </w:tcPr>
          <w:p w14:paraId="738B3E72" w14:textId="77777777" w:rsidR="00CE1CD9" w:rsidRPr="008920B0" w:rsidRDefault="00CE1CD9" w:rsidP="00E53639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8176B2">
              <w:rPr>
                <w:rFonts w:ascii="Arial" w:hAnsi="Arial" w:cs="Arial"/>
                <w:sz w:val="18"/>
                <w:szCs w:val="18"/>
              </w:rPr>
              <w:t>121,2</w:t>
            </w:r>
          </w:p>
        </w:tc>
        <w:tc>
          <w:tcPr>
            <w:tcW w:w="1276" w:type="dxa"/>
            <w:vAlign w:val="center"/>
          </w:tcPr>
          <w:p w14:paraId="3FE79CE4" w14:textId="77777777" w:rsidR="00CE1CD9" w:rsidRPr="00CE1CD9" w:rsidRDefault="00CE1CD9" w:rsidP="00CE1CD9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CE1CD9">
              <w:rPr>
                <w:rFonts w:ascii="Arial" w:hAnsi="Arial" w:cs="Arial"/>
                <w:sz w:val="18"/>
                <w:szCs w:val="18"/>
              </w:rPr>
              <w:t>-47,6 %</w:t>
            </w:r>
          </w:p>
        </w:tc>
      </w:tr>
      <w:tr w:rsidR="00CE1CD9" w:rsidRPr="00DF6351" w14:paraId="05585D61" w14:textId="77777777" w:rsidTr="00CE1CD9">
        <w:trPr>
          <w:trHeight w:val="284"/>
        </w:trPr>
        <w:tc>
          <w:tcPr>
            <w:tcW w:w="4077" w:type="dxa"/>
            <w:vAlign w:val="center"/>
          </w:tcPr>
          <w:p w14:paraId="04206A13" w14:textId="77777777" w:rsidR="00CE1CD9" w:rsidRPr="00DF6351" w:rsidRDefault="00CE1CD9" w:rsidP="00E436DA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456EE">
              <w:rPr>
                <w:rFonts w:ascii="Arial" w:hAnsi="Arial" w:cs="Arial"/>
                <w:sz w:val="18"/>
                <w:szCs w:val="18"/>
                <w:lang w:val="en-US"/>
              </w:rPr>
              <w:t>Return on Cap</w:t>
            </w:r>
            <w:r w:rsidRPr="00DF6351">
              <w:rPr>
                <w:rFonts w:ascii="Arial" w:hAnsi="Arial" w:cs="Arial"/>
                <w:sz w:val="18"/>
                <w:szCs w:val="18"/>
                <w:lang w:val="en-GB"/>
              </w:rPr>
              <w:t>ital Employed [in %]</w:t>
            </w:r>
          </w:p>
        </w:tc>
        <w:tc>
          <w:tcPr>
            <w:tcW w:w="1276" w:type="dxa"/>
            <w:vAlign w:val="center"/>
          </w:tcPr>
          <w:p w14:paraId="6A920921" w14:textId="77777777" w:rsidR="00CE1CD9" w:rsidRPr="00CE1CD9" w:rsidRDefault="00CE1CD9" w:rsidP="00CE1CD9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CE1CD9">
              <w:rPr>
                <w:rFonts w:ascii="Arial" w:hAnsi="Arial" w:cs="Arial"/>
                <w:sz w:val="18"/>
                <w:szCs w:val="18"/>
              </w:rPr>
              <w:t>20,8</w:t>
            </w:r>
          </w:p>
        </w:tc>
        <w:tc>
          <w:tcPr>
            <w:tcW w:w="1276" w:type="dxa"/>
            <w:vAlign w:val="center"/>
          </w:tcPr>
          <w:p w14:paraId="7F7539F6" w14:textId="77777777" w:rsidR="00CE1CD9" w:rsidRPr="008176B2" w:rsidRDefault="00CE1CD9" w:rsidP="00E53639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8176B2">
              <w:rPr>
                <w:rFonts w:ascii="Arial" w:hAnsi="Arial" w:cs="Arial"/>
                <w:sz w:val="18"/>
                <w:szCs w:val="18"/>
              </w:rPr>
              <w:t>24,0</w:t>
            </w:r>
          </w:p>
        </w:tc>
        <w:tc>
          <w:tcPr>
            <w:tcW w:w="1276" w:type="dxa"/>
            <w:vAlign w:val="center"/>
          </w:tcPr>
          <w:p w14:paraId="4F3D7FB0" w14:textId="77777777" w:rsidR="00CE1CD9" w:rsidRPr="00CE1CD9" w:rsidRDefault="00CE1CD9" w:rsidP="00CE1CD9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</w:tr>
      <w:tr w:rsidR="00CE1CD9" w:rsidRPr="00DF6351" w14:paraId="0DC0147D" w14:textId="77777777" w:rsidTr="00CE1CD9">
        <w:trPr>
          <w:trHeight w:val="284"/>
        </w:trPr>
        <w:tc>
          <w:tcPr>
            <w:tcW w:w="4077" w:type="dxa"/>
            <w:vAlign w:val="center"/>
          </w:tcPr>
          <w:p w14:paraId="2A030EEF" w14:textId="77777777" w:rsidR="00CE1CD9" w:rsidRPr="00DF6351" w:rsidRDefault="00CE1CD9" w:rsidP="00E436DA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DF6351">
              <w:rPr>
                <w:rFonts w:ascii="Arial" w:hAnsi="Arial" w:cs="Arial"/>
                <w:sz w:val="18"/>
                <w:szCs w:val="18"/>
              </w:rPr>
              <w:t>Investitionen in Sachanlagen und immaterielle Vermögenswerte [in Mio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F6351">
              <w:rPr>
                <w:rFonts w:ascii="Arial" w:hAnsi="Arial" w:cs="Arial"/>
                <w:sz w:val="18"/>
                <w:szCs w:val="18"/>
              </w:rPr>
              <w:t xml:space="preserve"> €]</w:t>
            </w:r>
          </w:p>
        </w:tc>
        <w:tc>
          <w:tcPr>
            <w:tcW w:w="1276" w:type="dxa"/>
            <w:vAlign w:val="center"/>
          </w:tcPr>
          <w:p w14:paraId="52609F3F" w14:textId="77777777" w:rsidR="00CE1CD9" w:rsidRPr="00CE1CD9" w:rsidRDefault="00CE1CD9" w:rsidP="00CE1CD9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CE1CD9">
              <w:rPr>
                <w:rFonts w:ascii="Arial" w:hAnsi="Arial" w:cs="Arial"/>
                <w:sz w:val="18"/>
                <w:szCs w:val="18"/>
              </w:rPr>
              <w:t>154,2</w:t>
            </w:r>
          </w:p>
        </w:tc>
        <w:tc>
          <w:tcPr>
            <w:tcW w:w="1276" w:type="dxa"/>
            <w:vAlign w:val="center"/>
          </w:tcPr>
          <w:p w14:paraId="5FCA051B" w14:textId="77777777" w:rsidR="00CE1CD9" w:rsidRPr="008920B0" w:rsidRDefault="00CE1CD9" w:rsidP="00E53639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137,4</w:t>
            </w:r>
          </w:p>
        </w:tc>
        <w:tc>
          <w:tcPr>
            <w:tcW w:w="1276" w:type="dxa"/>
            <w:vAlign w:val="center"/>
          </w:tcPr>
          <w:p w14:paraId="6432D91D" w14:textId="77777777" w:rsidR="00CE1CD9" w:rsidRPr="00CE1CD9" w:rsidRDefault="00CE1CD9" w:rsidP="00CE1CD9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CE1CD9">
              <w:rPr>
                <w:rFonts w:ascii="Arial" w:hAnsi="Arial" w:cs="Arial"/>
                <w:sz w:val="18"/>
                <w:szCs w:val="18"/>
              </w:rPr>
              <w:t>+12,2</w:t>
            </w:r>
            <w:r w:rsidR="00794757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CE1CD9" w:rsidRPr="00DF6351" w14:paraId="7EB505A7" w14:textId="77777777" w:rsidTr="00CE1CD9">
        <w:trPr>
          <w:trHeight w:val="284"/>
        </w:trPr>
        <w:tc>
          <w:tcPr>
            <w:tcW w:w="4077" w:type="dxa"/>
            <w:vAlign w:val="center"/>
          </w:tcPr>
          <w:p w14:paraId="1CDEC8EB" w14:textId="77777777" w:rsidR="00CE1CD9" w:rsidRPr="00DF6351" w:rsidRDefault="00CE1CD9" w:rsidP="00E436DA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DF6351">
              <w:rPr>
                <w:rFonts w:ascii="Arial" w:hAnsi="Arial" w:cs="Arial"/>
                <w:sz w:val="18"/>
                <w:szCs w:val="18"/>
              </w:rPr>
              <w:t>Akquisitionen und Finanzinvestitionen [in Mio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F6351">
              <w:rPr>
                <w:rFonts w:ascii="Arial" w:hAnsi="Arial" w:cs="Arial"/>
                <w:sz w:val="18"/>
                <w:szCs w:val="18"/>
              </w:rPr>
              <w:t xml:space="preserve"> €]</w:t>
            </w:r>
          </w:p>
        </w:tc>
        <w:tc>
          <w:tcPr>
            <w:tcW w:w="1276" w:type="dxa"/>
            <w:vAlign w:val="center"/>
          </w:tcPr>
          <w:p w14:paraId="29CE9A1E" w14:textId="77777777" w:rsidR="00CE1CD9" w:rsidRPr="00CE1CD9" w:rsidRDefault="00CE1CD9" w:rsidP="00CE1CD9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CE1CD9">
              <w:rPr>
                <w:rFonts w:ascii="Arial" w:hAnsi="Arial" w:cs="Arial"/>
                <w:sz w:val="18"/>
                <w:szCs w:val="18"/>
              </w:rPr>
              <w:t>26,7</w:t>
            </w:r>
          </w:p>
        </w:tc>
        <w:tc>
          <w:tcPr>
            <w:tcW w:w="1276" w:type="dxa"/>
            <w:vAlign w:val="center"/>
          </w:tcPr>
          <w:p w14:paraId="75FB33F5" w14:textId="77777777" w:rsidR="00CE1CD9" w:rsidRPr="008920B0" w:rsidRDefault="00CE1CD9" w:rsidP="00E53639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</w:t>
            </w:r>
          </w:p>
        </w:tc>
        <w:tc>
          <w:tcPr>
            <w:tcW w:w="1276" w:type="dxa"/>
            <w:vAlign w:val="center"/>
          </w:tcPr>
          <w:p w14:paraId="41052DA6" w14:textId="77777777" w:rsidR="00CE1CD9" w:rsidRPr="00CE1CD9" w:rsidRDefault="00CE1CD9" w:rsidP="00CE1CD9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CE1CD9">
              <w:rPr>
                <w:rFonts w:ascii="Arial" w:hAnsi="Arial" w:cs="Arial"/>
                <w:sz w:val="18"/>
                <w:szCs w:val="18"/>
              </w:rPr>
              <w:t>+888,9 %</w:t>
            </w:r>
          </w:p>
        </w:tc>
      </w:tr>
      <w:tr w:rsidR="00CE1CD9" w:rsidRPr="00DF6351" w14:paraId="2DA01BAA" w14:textId="77777777" w:rsidTr="00CE1CD9">
        <w:trPr>
          <w:trHeight w:val="284"/>
        </w:trPr>
        <w:tc>
          <w:tcPr>
            <w:tcW w:w="4077" w:type="dxa"/>
            <w:vAlign w:val="center"/>
          </w:tcPr>
          <w:p w14:paraId="01A6DB65" w14:textId="77777777" w:rsidR="00CE1CD9" w:rsidRPr="00DF6351" w:rsidRDefault="00CE1CD9" w:rsidP="00E436DA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DF6351">
              <w:rPr>
                <w:rFonts w:ascii="Arial" w:hAnsi="Arial" w:cs="Arial"/>
                <w:sz w:val="18"/>
                <w:szCs w:val="18"/>
              </w:rPr>
              <w:t>Mitarbeiter (per 31.12.)</w:t>
            </w:r>
          </w:p>
        </w:tc>
        <w:tc>
          <w:tcPr>
            <w:tcW w:w="1276" w:type="dxa"/>
            <w:vAlign w:val="center"/>
          </w:tcPr>
          <w:p w14:paraId="793B71C0" w14:textId="77777777" w:rsidR="00CE1CD9" w:rsidRPr="00CE1CD9" w:rsidRDefault="00CE1CD9" w:rsidP="00CE1CD9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CE1CD9">
              <w:rPr>
                <w:rFonts w:ascii="Arial" w:hAnsi="Arial" w:cs="Arial"/>
                <w:sz w:val="18"/>
                <w:szCs w:val="18"/>
              </w:rPr>
              <w:t>59.393</w:t>
            </w:r>
          </w:p>
        </w:tc>
        <w:tc>
          <w:tcPr>
            <w:tcW w:w="1276" w:type="dxa"/>
            <w:vAlign w:val="center"/>
          </w:tcPr>
          <w:p w14:paraId="7887DE90" w14:textId="77777777" w:rsidR="00CE1CD9" w:rsidRPr="008920B0" w:rsidRDefault="00CE1CD9" w:rsidP="00E53639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60.745</w:t>
            </w:r>
          </w:p>
        </w:tc>
        <w:tc>
          <w:tcPr>
            <w:tcW w:w="1276" w:type="dxa"/>
            <w:vAlign w:val="center"/>
          </w:tcPr>
          <w:p w14:paraId="0F7243CF" w14:textId="77777777" w:rsidR="00CE1CD9" w:rsidRPr="00CE1CD9" w:rsidRDefault="00CE1CD9" w:rsidP="00CE1CD9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CE1CD9">
              <w:rPr>
                <w:rFonts w:ascii="Arial" w:hAnsi="Arial" w:cs="Arial"/>
                <w:sz w:val="18"/>
                <w:szCs w:val="18"/>
              </w:rPr>
              <w:t>-2,2 %</w:t>
            </w:r>
          </w:p>
        </w:tc>
      </w:tr>
    </w:tbl>
    <w:p w14:paraId="72521CD3" w14:textId="77777777" w:rsidR="005456EE" w:rsidRPr="009714B0" w:rsidRDefault="001904D1" w:rsidP="001904D1">
      <w:pPr>
        <w:autoSpaceDE w:val="0"/>
        <w:autoSpaceDN w:val="0"/>
        <w:adjustRightInd w:val="0"/>
        <w:ind w:right="185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  <w:r w:rsidR="005456EE" w:rsidRPr="008920B0">
        <w:rPr>
          <w:rFonts w:ascii="Arial" w:hAnsi="Arial" w:cs="Arial"/>
          <w:i/>
          <w:sz w:val="16"/>
          <w:szCs w:val="16"/>
        </w:rPr>
        <w:t xml:space="preserve">* </w:t>
      </w:r>
      <w:r w:rsidRPr="001904D1">
        <w:rPr>
          <w:rFonts w:ascii="Arial" w:hAnsi="Arial" w:cs="Arial"/>
          <w:i/>
          <w:sz w:val="16"/>
          <w:szCs w:val="16"/>
        </w:rPr>
        <w:t>Ergebnis bereinigt um die Effekte aus der Neubewertung im Rahmen der Kaufpreisverteilung wesentlicher Akquisitionen, Restrukturierungen,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904D1">
        <w:rPr>
          <w:rFonts w:ascii="Arial" w:hAnsi="Arial" w:cs="Arial"/>
          <w:i/>
          <w:sz w:val="16"/>
          <w:szCs w:val="16"/>
        </w:rPr>
        <w:t>Wertminderungen langfristiger Vermögenswerte, Gewinne aus Unterneh</w:t>
      </w:r>
      <w:r>
        <w:rPr>
          <w:rFonts w:ascii="Arial" w:hAnsi="Arial" w:cs="Arial"/>
          <w:i/>
          <w:sz w:val="16"/>
          <w:szCs w:val="16"/>
        </w:rPr>
        <w:t>-</w:t>
      </w:r>
      <w:r w:rsidRPr="001904D1">
        <w:rPr>
          <w:rFonts w:ascii="Arial" w:hAnsi="Arial" w:cs="Arial"/>
          <w:i/>
          <w:sz w:val="16"/>
          <w:szCs w:val="16"/>
        </w:rPr>
        <w:t>mensverkäufen und Ergebnisse aus Unternehmenszusammenschlüssen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904D1">
        <w:rPr>
          <w:rFonts w:ascii="Arial" w:hAnsi="Arial" w:cs="Arial"/>
          <w:i/>
          <w:sz w:val="16"/>
          <w:szCs w:val="16"/>
        </w:rPr>
        <w:t>inklusive zugehöriger Derivate</w:t>
      </w:r>
      <w:r w:rsidR="008176B2">
        <w:rPr>
          <w:rFonts w:ascii="Arial" w:hAnsi="Arial" w:cs="Arial"/>
          <w:i/>
          <w:sz w:val="16"/>
          <w:szCs w:val="16"/>
        </w:rPr>
        <w:br/>
      </w:r>
      <w:r w:rsidR="005456EE" w:rsidRPr="008920B0">
        <w:rPr>
          <w:rFonts w:ascii="Arial" w:hAnsi="Arial" w:cs="Arial"/>
          <w:i/>
          <w:sz w:val="16"/>
          <w:szCs w:val="16"/>
        </w:rPr>
        <w:t>*</w:t>
      </w:r>
      <w:r w:rsidR="005456EE">
        <w:rPr>
          <w:rFonts w:ascii="Arial" w:hAnsi="Arial" w:cs="Arial"/>
          <w:i/>
          <w:sz w:val="16"/>
          <w:szCs w:val="16"/>
        </w:rPr>
        <w:t>*</w:t>
      </w:r>
      <w:r w:rsidR="005456EE" w:rsidRPr="008920B0">
        <w:rPr>
          <w:rFonts w:ascii="Arial" w:hAnsi="Arial" w:cs="Arial"/>
          <w:i/>
          <w:sz w:val="16"/>
          <w:szCs w:val="16"/>
        </w:rPr>
        <w:t xml:space="preserve"> </w:t>
      </w:r>
      <w:r w:rsidR="005456EE" w:rsidRPr="009714B0">
        <w:rPr>
          <w:rFonts w:ascii="Arial" w:hAnsi="Arial" w:cs="Arial"/>
          <w:i/>
          <w:sz w:val="16"/>
          <w:szCs w:val="16"/>
        </w:rPr>
        <w:t xml:space="preserve"> vor Akquisitionen</w:t>
      </w:r>
      <w:r w:rsidR="008176B2">
        <w:rPr>
          <w:rFonts w:ascii="Arial" w:hAnsi="Arial" w:cs="Arial"/>
          <w:i/>
          <w:sz w:val="16"/>
          <w:szCs w:val="16"/>
        </w:rPr>
        <w:t xml:space="preserve"> und</w:t>
      </w:r>
      <w:r w:rsidR="005456EE" w:rsidRPr="009714B0">
        <w:rPr>
          <w:rFonts w:ascii="Arial" w:hAnsi="Arial" w:cs="Arial"/>
          <w:i/>
          <w:sz w:val="16"/>
          <w:szCs w:val="16"/>
        </w:rPr>
        <w:t xml:space="preserve"> D</w:t>
      </w:r>
      <w:r w:rsidR="00CE1CD9">
        <w:rPr>
          <w:rFonts w:ascii="Arial" w:hAnsi="Arial" w:cs="Arial"/>
          <w:i/>
          <w:sz w:val="16"/>
          <w:szCs w:val="16"/>
        </w:rPr>
        <w:t>esinvestitionen</w:t>
      </w:r>
      <w:r w:rsidR="008176B2">
        <w:rPr>
          <w:rFonts w:ascii="Arial" w:hAnsi="Arial" w:cs="Arial"/>
          <w:i/>
          <w:sz w:val="16"/>
          <w:szCs w:val="16"/>
        </w:rPr>
        <w:br/>
      </w:r>
      <w:r w:rsidR="008176B2">
        <w:rPr>
          <w:rFonts w:ascii="Arial" w:hAnsi="Arial" w:cs="Arial"/>
          <w:i/>
          <w:sz w:val="16"/>
          <w:szCs w:val="16"/>
        </w:rPr>
        <w:br/>
      </w:r>
      <w:r w:rsidR="005456EE" w:rsidRPr="00DF6351">
        <w:rPr>
          <w:rFonts w:ascii="Arial" w:hAnsi="Arial" w:cs="Arial"/>
          <w:sz w:val="36"/>
          <w:szCs w:val="36"/>
        </w:rPr>
        <w:sym w:font="Wingdings" w:char="F046"/>
      </w:r>
      <w:r w:rsidR="005456EE" w:rsidRPr="00DF6351">
        <w:rPr>
          <w:rFonts w:ascii="Arial" w:hAnsi="Arial" w:cs="Arial"/>
          <w:i/>
          <w:sz w:val="20"/>
          <w:szCs w:val="20"/>
        </w:rPr>
        <w:t xml:space="preserve"> </w:t>
      </w:r>
      <w:r w:rsidR="005456EE" w:rsidRPr="00DF6351">
        <w:rPr>
          <w:rFonts w:ascii="Arial" w:hAnsi="Arial" w:cs="Arial"/>
          <w:i/>
          <w:sz w:val="21"/>
          <w:szCs w:val="21"/>
        </w:rPr>
        <w:t xml:space="preserve">Illustrationsmaterial und weitere Informationen finden Sie </w:t>
      </w:r>
      <w:r w:rsidR="005456EE" w:rsidRPr="006D36F9">
        <w:rPr>
          <w:rFonts w:ascii="Arial" w:hAnsi="Arial" w:cs="Arial"/>
          <w:i/>
          <w:sz w:val="21"/>
          <w:szCs w:val="21"/>
        </w:rPr>
        <w:t xml:space="preserve">unter </w:t>
      </w:r>
      <w:hyperlink r:id="rId9" w:history="1">
        <w:r w:rsidR="005456EE" w:rsidRPr="0040314E">
          <w:rPr>
            <w:rStyle w:val="Link"/>
            <w:rFonts w:ascii="Arial" w:hAnsi="Arial" w:cs="Arial"/>
            <w:i/>
            <w:sz w:val="21"/>
            <w:szCs w:val="21"/>
          </w:rPr>
          <w:t>www.media.leoni.com</w:t>
        </w:r>
      </w:hyperlink>
      <w:r w:rsidR="005456EE" w:rsidRPr="006D36F9">
        <w:rPr>
          <w:rFonts w:ascii="Arial" w:hAnsi="Arial" w:cs="Arial"/>
          <w:i/>
          <w:sz w:val="21"/>
          <w:szCs w:val="21"/>
        </w:rPr>
        <w:t xml:space="preserve"> direkt bei dieser Mitteilung</w:t>
      </w:r>
      <w:r w:rsidR="005456EE" w:rsidRPr="00DF6351">
        <w:rPr>
          <w:rFonts w:ascii="Arial" w:hAnsi="Arial" w:cs="Arial"/>
          <w:i/>
          <w:sz w:val="21"/>
          <w:szCs w:val="21"/>
        </w:rPr>
        <w:t xml:space="preserve"> </w:t>
      </w:r>
    </w:p>
    <w:p w14:paraId="5328C336" w14:textId="77777777" w:rsidR="00DF6351" w:rsidRPr="00F9437E" w:rsidRDefault="005456EE" w:rsidP="001904D1">
      <w:pPr>
        <w:ind w:right="1852"/>
        <w:rPr>
          <w:rFonts w:ascii="Arial" w:hAnsi="Arial" w:cs="Arial"/>
          <w:i/>
          <w:sz w:val="21"/>
          <w:szCs w:val="21"/>
        </w:rPr>
      </w:pPr>
      <w:r w:rsidRPr="00DF6351">
        <w:rPr>
          <w:rFonts w:ascii="Arial" w:hAnsi="Arial" w:cs="Arial"/>
          <w:sz w:val="36"/>
          <w:szCs w:val="36"/>
        </w:rPr>
        <w:sym w:font="Wingdings" w:char="F046"/>
      </w:r>
      <w:r w:rsidRPr="00DF6351">
        <w:rPr>
          <w:rFonts w:ascii="Arial" w:hAnsi="Arial" w:cs="Arial"/>
          <w:i/>
          <w:sz w:val="20"/>
          <w:szCs w:val="20"/>
        </w:rPr>
        <w:t xml:space="preserve"> </w:t>
      </w:r>
      <w:r w:rsidRPr="00DF6351">
        <w:rPr>
          <w:rFonts w:ascii="Arial" w:hAnsi="Arial" w:cs="Arial"/>
          <w:i/>
          <w:sz w:val="21"/>
          <w:szCs w:val="21"/>
        </w:rPr>
        <w:t xml:space="preserve">Den vollständigen Geschäftsbericht können Sie herunterladen unter </w:t>
      </w:r>
      <w:hyperlink r:id="rId10" w:history="1">
        <w:r w:rsidR="00CE1CD9" w:rsidRPr="00911F2F">
          <w:rPr>
            <w:rStyle w:val="Link"/>
            <w:rFonts w:ascii="Arial" w:hAnsi="Arial" w:cs="Arial"/>
            <w:i/>
            <w:sz w:val="21"/>
            <w:szCs w:val="21"/>
          </w:rPr>
          <w:t>www.leoni.com/?gb12&amp;L=0</w:t>
        </w:r>
      </w:hyperlink>
      <w:r w:rsidR="00DF6351" w:rsidRPr="00DF6351">
        <w:rPr>
          <w:rFonts w:ascii="Arial" w:hAnsi="Arial" w:cs="Arial"/>
          <w:i/>
          <w:sz w:val="21"/>
          <w:szCs w:val="21"/>
        </w:rPr>
        <w:t xml:space="preserve"> </w:t>
      </w:r>
    </w:p>
    <w:p w14:paraId="5DD5D27F" w14:textId="77777777" w:rsidR="001B621B" w:rsidRPr="006D36F9" w:rsidRDefault="006F4393" w:rsidP="006D36F9">
      <w:pPr>
        <w:pStyle w:val="MMKurzprofilberschrift"/>
      </w:pPr>
      <w:r w:rsidRPr="006D36F9">
        <w:t>Über die Leoni-Gruppe</w:t>
      </w:r>
    </w:p>
    <w:p w14:paraId="6EF930D8" w14:textId="77777777" w:rsidR="005E0BBB" w:rsidRDefault="003E43B4" w:rsidP="005E0BBB">
      <w:pPr>
        <w:pStyle w:val="MMKurzprofil"/>
      </w:pPr>
      <w:r w:rsidRPr="006D36F9">
        <w:t xml:space="preserve">Leoni </w:t>
      </w:r>
      <w:r w:rsidR="00D74838" w:rsidRPr="006D36F9">
        <w:t xml:space="preserve">ist ein weltweit tätiger Anbieter von Drähten, optischen Fasern, Kabeln und Kabelsystemen sowie zugehörigen Dienstleistungen für den Automobilbereich und weitere Industrien. </w:t>
      </w:r>
      <w:r w:rsidR="004D2FCB" w:rsidRPr="006D36F9">
        <w:t xml:space="preserve">Leoni entwickelt und produziert technisch anspruchsvolle Produkte von der einadrigen Fahrzeugleitung bis zum kompletten Bordnetz-System. Darüber hinaus umfasst das Leistungsspektrum Drahtprodukte, standardisierte Leitungen, Spezialkabel und konfektionierte Systeme für unterschiedliche industrielle Märkte. </w:t>
      </w:r>
      <w:r w:rsidRPr="006D36F9">
        <w:t xml:space="preserve">Die im deutschen MDAX börsennotierte Unternehmensgruppe beschäftigt </w:t>
      </w:r>
      <w:r w:rsidR="0098756C">
        <w:t>mehr als</w:t>
      </w:r>
      <w:r w:rsidR="00CE1CD9">
        <w:t xml:space="preserve"> 59</w:t>
      </w:r>
      <w:r w:rsidR="008E7760" w:rsidRPr="006D36F9">
        <w:t>.000 Mitarbeiter in 3</w:t>
      </w:r>
      <w:r w:rsidR="00CE1CD9">
        <w:t>2</w:t>
      </w:r>
      <w:r w:rsidR="008E7760" w:rsidRPr="006D36F9">
        <w:t xml:space="preserve"> Ländern und erzielte 20</w:t>
      </w:r>
      <w:r w:rsidR="00977A5F" w:rsidRPr="006D36F9">
        <w:t>1</w:t>
      </w:r>
      <w:r w:rsidR="00CE1CD9">
        <w:t>2</w:t>
      </w:r>
      <w:r w:rsidR="008E7760" w:rsidRPr="006D36F9">
        <w:t xml:space="preserve"> einen Konzernumsatz von </w:t>
      </w:r>
      <w:r w:rsidR="005E0BBB">
        <w:t>3</w:t>
      </w:r>
      <w:r w:rsidR="008E7760" w:rsidRPr="006D36F9">
        <w:t>,</w:t>
      </w:r>
      <w:r w:rsidR="00CE1CD9">
        <w:t>81</w:t>
      </w:r>
      <w:r w:rsidR="008E7760" w:rsidRPr="006D36F9">
        <w:t xml:space="preserve"> Mrd. Euro</w:t>
      </w:r>
      <w:r w:rsidRPr="006D36F9">
        <w:t>.</w:t>
      </w:r>
    </w:p>
    <w:p w14:paraId="68D3BF15" w14:textId="77777777" w:rsidR="00E569A0" w:rsidRPr="00320044" w:rsidRDefault="00E569A0" w:rsidP="00E569A0">
      <w:pPr>
        <w:pStyle w:val="MMKurzprofil"/>
      </w:pPr>
    </w:p>
    <w:p w14:paraId="1E568922" w14:textId="77777777" w:rsidR="00E569A0" w:rsidRPr="00320044" w:rsidRDefault="00DC2CC0" w:rsidP="005E0BBB">
      <w:pPr>
        <w:pStyle w:val="MMKurzprofil"/>
      </w:pPr>
      <w:r>
        <w:rPr>
          <w:noProof/>
        </w:rPr>
        <w:drawing>
          <wp:inline distT="0" distB="0" distL="0" distR="0" wp14:anchorId="0CD1647C" wp14:editId="58088EBC">
            <wp:extent cx="180975" cy="180975"/>
            <wp:effectExtent l="0" t="0" r="9525" b="9525"/>
            <wp:docPr id="4" name="Bild 1" descr="facebook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9A0" w:rsidRPr="00320044">
        <w:t xml:space="preserve"> </w:t>
      </w:r>
      <w:r>
        <w:rPr>
          <w:noProof/>
        </w:rPr>
        <w:drawing>
          <wp:inline distT="0" distB="0" distL="0" distR="0" wp14:anchorId="5B58AA25" wp14:editId="73844433">
            <wp:extent cx="180975" cy="180975"/>
            <wp:effectExtent l="0" t="0" r="9525" b="9525"/>
            <wp:docPr id="2" name="Bild 2" descr="xing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ng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7A488" w14:textId="77777777" w:rsidR="008F5F48" w:rsidRPr="006D36F9" w:rsidRDefault="00441963" w:rsidP="006D36F9">
      <w:pPr>
        <w:pStyle w:val="MMKurzprofilberschrift"/>
      </w:pPr>
      <w:r w:rsidRPr="006D36F9">
        <w:t xml:space="preserve">Ansprechpartner für </w:t>
      </w:r>
      <w:r w:rsidR="0061798D" w:rsidRPr="006D36F9">
        <w:t>Journalisten</w:t>
      </w:r>
    </w:p>
    <w:p w14:paraId="03CFE4AE" w14:textId="77777777" w:rsidR="008F5F48" w:rsidRPr="006D36F9" w:rsidRDefault="008F5F48" w:rsidP="006D36F9">
      <w:pPr>
        <w:pStyle w:val="MMKurzprofil"/>
      </w:pPr>
      <w:r w:rsidRPr="006D36F9">
        <w:t>Sven Schmidt</w:t>
      </w:r>
    </w:p>
    <w:p w14:paraId="598490A5" w14:textId="77777777" w:rsidR="008F5F48" w:rsidRDefault="000A7B89" w:rsidP="006D36F9">
      <w:pPr>
        <w:pStyle w:val="MMKurzprofil"/>
      </w:pPr>
      <w:r w:rsidRPr="006D36F9">
        <w:t xml:space="preserve">Corporate </w:t>
      </w:r>
      <w:r w:rsidR="008F5F48" w:rsidRPr="006D36F9">
        <w:t>Public &amp; Media Relations</w:t>
      </w:r>
    </w:p>
    <w:p w14:paraId="4DADF4F0" w14:textId="77777777" w:rsidR="009613DC" w:rsidRPr="006D36F9" w:rsidRDefault="009613DC" w:rsidP="006D36F9">
      <w:pPr>
        <w:pStyle w:val="MMKurzprofil"/>
      </w:pPr>
      <w:r>
        <w:t>LEONI AG</w:t>
      </w:r>
    </w:p>
    <w:p w14:paraId="259A83B7" w14:textId="77777777"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Telefon</w:t>
      </w:r>
      <w:r w:rsidR="006D36F9">
        <w:tab/>
      </w:r>
      <w:r w:rsidRPr="006D36F9">
        <w:t>+49 (0)911-2023-467</w:t>
      </w:r>
    </w:p>
    <w:p w14:paraId="33BBC5DE" w14:textId="77777777"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Telefax</w:t>
      </w:r>
      <w:r w:rsidRPr="006D36F9">
        <w:tab/>
        <w:t>+49 (0)911-2023-231</w:t>
      </w:r>
    </w:p>
    <w:p w14:paraId="45A2ACF1" w14:textId="77777777"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E-Mail</w:t>
      </w:r>
      <w:r w:rsidRPr="006D36F9">
        <w:tab/>
      </w:r>
      <w:hyperlink r:id="rId15" w:history="1">
        <w:r w:rsidR="00883645" w:rsidRPr="00CA55F6">
          <w:rPr>
            <w:rStyle w:val="Link"/>
          </w:rPr>
          <w:t>presse@leoni.com</w:t>
        </w:r>
      </w:hyperlink>
    </w:p>
    <w:sectPr w:rsidR="008F5F48" w:rsidRPr="006D36F9" w:rsidSect="00783A5E">
      <w:headerReference w:type="default" r:id="rId16"/>
      <w:footerReference w:type="default" r:id="rId17"/>
      <w:headerReference w:type="first" r:id="rId18"/>
      <w:footerReference w:type="first" r:id="rId19"/>
      <w:pgSz w:w="11900" w:h="16840" w:code="9"/>
      <w:pgMar w:top="2977" w:right="833" w:bottom="1701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E148D" w14:textId="77777777" w:rsidR="00794757" w:rsidRPr="00A44C71" w:rsidRDefault="00794757">
      <w:pPr>
        <w:rPr>
          <w:sz w:val="16"/>
        </w:rPr>
      </w:pPr>
      <w:r>
        <w:separator/>
      </w:r>
    </w:p>
  </w:endnote>
  <w:endnote w:type="continuationSeparator" w:id="0">
    <w:p w14:paraId="75895AA1" w14:textId="77777777" w:rsidR="00794757" w:rsidRPr="00A44C71" w:rsidRDefault="00794757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yriad Regular">
    <w:charset w:val="00"/>
    <w:family w:val="swiss"/>
    <w:pitch w:val="variable"/>
    <w:sig w:usb0="80000027" w:usb1="00000000" w:usb2="00000000" w:usb3="00000000" w:csb0="00000003" w:csb1="00000000"/>
  </w:font>
  <w:font w:name="Myriad Condensed"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3052F" w14:textId="77777777" w:rsidR="00794757" w:rsidRPr="009A05EE" w:rsidRDefault="00794757" w:rsidP="009F6805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 w:rsidRPr="009A05EE">
      <w:rPr>
        <w:rFonts w:ascii="Arial" w:hAnsi="Arial" w:cs="Arial"/>
        <w:i/>
        <w:sz w:val="16"/>
        <w:szCs w:val="16"/>
      </w:rPr>
      <w:t xml:space="preserve">Seite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E55BEA">
      <w:rPr>
        <w:rStyle w:val="Seitenzahl"/>
        <w:rFonts w:ascii="Arial" w:hAnsi="Arial" w:cs="Arial"/>
        <w:i/>
        <w:noProof/>
        <w:sz w:val="16"/>
        <w:szCs w:val="16"/>
      </w:rPr>
      <w:t>3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Style w:val="Seitenzahl"/>
        <w:rFonts w:ascii="Arial" w:hAnsi="Arial" w:cs="Arial"/>
        <w:i/>
        <w:sz w:val="16"/>
        <w:szCs w:val="16"/>
      </w:rPr>
      <w:t xml:space="preserve"> von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E55BEA">
      <w:rPr>
        <w:rStyle w:val="Seitenzahl"/>
        <w:rFonts w:ascii="Arial" w:hAnsi="Arial" w:cs="Arial"/>
        <w:i/>
        <w:noProof/>
        <w:sz w:val="16"/>
        <w:szCs w:val="16"/>
      </w:rPr>
      <w:t>4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Fonts w:ascii="Arial" w:hAnsi="Arial" w:cs="Arial"/>
        <w:b/>
        <w:i/>
        <w:color w:val="004089"/>
        <w:sz w:val="12"/>
        <w:szCs w:val="14"/>
      </w:rPr>
      <w:tab/>
    </w:r>
  </w:p>
  <w:p w14:paraId="008AD77C" w14:textId="77777777" w:rsidR="00794757" w:rsidRPr="009F6805" w:rsidRDefault="00794757" w:rsidP="00132B87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 w:rsidRPr="00406709">
      <w:tab/>
    </w:r>
    <w:r w:rsidRPr="00406709">
      <w:tab/>
    </w:r>
    <w:r w:rsidRPr="00406709"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44841" w14:textId="77777777" w:rsidR="00794757" w:rsidRPr="00406709" w:rsidRDefault="00794757" w:rsidP="008F5F48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b/>
        <w:color w:val="004089"/>
        <w:sz w:val="12"/>
        <w:szCs w:val="14"/>
      </w:rPr>
      <w:tab/>
    </w:r>
    <w:r>
      <w:rPr>
        <w:rFonts w:ascii="Verdana" w:hAnsi="Verdana"/>
        <w:b/>
        <w:color w:val="004089"/>
        <w:sz w:val="12"/>
        <w:szCs w:val="14"/>
      </w:rPr>
      <w:t>Leoni</w:t>
    </w:r>
    <w:r w:rsidRPr="00406709">
      <w:rPr>
        <w:rFonts w:ascii="Verdana" w:hAnsi="Verdana"/>
        <w:b/>
        <w:color w:val="004089"/>
        <w:sz w:val="12"/>
        <w:szCs w:val="14"/>
      </w:rPr>
      <w:t xml:space="preserve"> AG</w:t>
    </w:r>
    <w:r w:rsidRPr="00406709">
      <w:rPr>
        <w:rFonts w:ascii="Verdana" w:hAnsi="Verdana"/>
        <w:sz w:val="12"/>
        <w:szCs w:val="14"/>
      </w:rPr>
      <w:tab/>
      <w:t>Marienstraße 7</w:t>
    </w:r>
    <w:r w:rsidRPr="00406709">
      <w:rPr>
        <w:rFonts w:ascii="Verdana" w:hAnsi="Verdana"/>
        <w:sz w:val="12"/>
        <w:szCs w:val="14"/>
      </w:rPr>
      <w:tab/>
      <w:t>Sitz und Registergericht</w:t>
    </w:r>
    <w:r w:rsidRPr="00406709">
      <w:rPr>
        <w:rFonts w:ascii="Verdana" w:hAnsi="Verdana"/>
        <w:sz w:val="12"/>
        <w:szCs w:val="14"/>
      </w:rPr>
      <w:tab/>
      <w:t>Vorsitzender des Aufsichtsrat</w:t>
    </w:r>
    <w:r>
      <w:rPr>
        <w:rFonts w:ascii="Verdana" w:hAnsi="Verdana"/>
        <w:sz w:val="12"/>
        <w:szCs w:val="14"/>
      </w:rPr>
      <w:t>s</w:t>
    </w:r>
    <w:r w:rsidRPr="00406709">
      <w:rPr>
        <w:rFonts w:ascii="Verdana" w:hAnsi="Verdana"/>
        <w:sz w:val="12"/>
        <w:szCs w:val="14"/>
      </w:rPr>
      <w:t>:</w:t>
    </w:r>
  </w:p>
  <w:p w14:paraId="0874A60E" w14:textId="77777777" w:rsidR="00794757" w:rsidRPr="00406709" w:rsidRDefault="00794757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D-90402 Nürnberg</w:t>
    </w:r>
    <w:r w:rsidRPr="00406709">
      <w:rPr>
        <w:rFonts w:ascii="Verdana" w:hAnsi="Verdana"/>
        <w:sz w:val="12"/>
        <w:szCs w:val="14"/>
      </w:rPr>
      <w:tab/>
      <w:t>Nürnberg HRB 202</w:t>
    </w:r>
    <w:r w:rsidRPr="00406709">
      <w:rPr>
        <w:rFonts w:ascii="Verdana" w:hAnsi="Verdana"/>
        <w:sz w:val="12"/>
        <w:szCs w:val="14"/>
      </w:rPr>
      <w:tab/>
    </w:r>
    <w:r>
      <w:rPr>
        <w:rFonts w:ascii="Verdana" w:hAnsi="Verdana"/>
        <w:sz w:val="12"/>
        <w:szCs w:val="14"/>
      </w:rPr>
      <w:t>Dr. Werner Rupp</w:t>
    </w:r>
  </w:p>
  <w:p w14:paraId="7E1322A7" w14:textId="77777777" w:rsidR="00794757" w:rsidRPr="00406709" w:rsidRDefault="00794757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6220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Telefon +49 (0)911-2023-0</w:t>
    </w:r>
    <w:r w:rsidRPr="00406709">
      <w:rPr>
        <w:rFonts w:ascii="Verdana" w:hAnsi="Verdana"/>
        <w:sz w:val="12"/>
        <w:szCs w:val="14"/>
      </w:rPr>
      <w:tab/>
      <w:t>USt-ID-Nr.: DE 133500751</w:t>
    </w:r>
    <w:r w:rsidRPr="00406709">
      <w:rPr>
        <w:rFonts w:ascii="Verdana" w:hAnsi="Verdana"/>
        <w:sz w:val="12"/>
        <w:szCs w:val="14"/>
      </w:rPr>
      <w:tab/>
      <w:t>Vorstand:</w:t>
    </w:r>
  </w:p>
  <w:p w14:paraId="3F254A04" w14:textId="77777777" w:rsidR="00794757" w:rsidRPr="00406709" w:rsidRDefault="00794757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Telefax +49 (0)911-2023-231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Dr. Klaus Probst (Vorsitzender)</w:t>
    </w:r>
  </w:p>
  <w:p w14:paraId="14956448" w14:textId="77777777" w:rsidR="00794757" w:rsidRPr="00406709" w:rsidRDefault="00794757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84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 xml:space="preserve">E-Mail   info@leoni.com 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Dieter Bellé</w:t>
    </w:r>
  </w:p>
  <w:p w14:paraId="4234D60E" w14:textId="77777777" w:rsidR="00794757" w:rsidRDefault="00794757" w:rsidP="008F5F48">
    <w:pPr>
      <w:pStyle w:val="Fuzeile"/>
      <w:tabs>
        <w:tab w:val="left" w:pos="3788"/>
        <w:tab w:val="left" w:pos="7729"/>
      </w:tabs>
      <w:spacing w:before="20"/>
    </w:pPr>
    <w:r w:rsidRPr="00406709">
      <w:rPr>
        <w:rFonts w:ascii="Verdana" w:hAnsi="Verdana"/>
        <w:sz w:val="12"/>
        <w:szCs w:val="14"/>
      </w:rPr>
      <w:tab/>
      <w:t>www.leoni.com</w:t>
    </w:r>
    <w:r w:rsidRPr="00406709">
      <w:rPr>
        <w:rFonts w:ascii="Verdana" w:hAnsi="Verdana"/>
        <w:sz w:val="12"/>
        <w:szCs w:val="14"/>
      </w:rPr>
      <w:tab/>
      <w:t>Uwe H. Lamann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954E9" w14:textId="77777777" w:rsidR="00794757" w:rsidRPr="00A44C71" w:rsidRDefault="00794757">
      <w:pPr>
        <w:rPr>
          <w:sz w:val="16"/>
        </w:rPr>
      </w:pPr>
      <w:r>
        <w:separator/>
      </w:r>
    </w:p>
  </w:footnote>
  <w:footnote w:type="continuationSeparator" w:id="0">
    <w:p w14:paraId="0FDB2E47" w14:textId="77777777" w:rsidR="00794757" w:rsidRPr="00A44C71" w:rsidRDefault="00794757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3CE9A" w14:textId="77777777" w:rsidR="00794757" w:rsidRPr="00F17738" w:rsidRDefault="00794757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3489C1C3" w14:textId="77777777" w:rsidR="00794757" w:rsidRPr="00F17738" w:rsidRDefault="00794757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23DB2B2F" w14:textId="77777777" w:rsidR="00794757" w:rsidRPr="00F17738" w:rsidRDefault="00794757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9264" behindDoc="0" locked="1" layoutInCell="1" allowOverlap="0" wp14:anchorId="08185FBC" wp14:editId="2A1D5297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8890" b="0"/>
          <wp:wrapNone/>
          <wp:docPr id="3" name="Bild 3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147FA5" w14:textId="77777777" w:rsidR="00794757" w:rsidRDefault="00794757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14:paraId="6F71A10C" w14:textId="77777777" w:rsidR="00794757" w:rsidRPr="006D36F9" w:rsidRDefault="00794757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 w:rsidRPr="006D36F9">
      <w:rPr>
        <w:rFonts w:ascii="Arial" w:hAnsi="Arial" w:cs="Arial"/>
        <w:b/>
        <w:sz w:val="20"/>
        <w:szCs w:val="20"/>
      </w:rPr>
      <w:t>MEDIENMITTEILUNG</w:t>
    </w:r>
  </w:p>
  <w:p w14:paraId="753C4DD4" w14:textId="77777777" w:rsidR="00794757" w:rsidRPr="00F17738" w:rsidRDefault="00794757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2582C39D" w14:textId="77777777" w:rsidR="00794757" w:rsidRPr="00F17738" w:rsidRDefault="00794757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249732C8" w14:textId="77777777" w:rsidR="00794757" w:rsidRPr="00F17738" w:rsidRDefault="00794757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5783E6D7" w14:textId="77777777" w:rsidR="00794757" w:rsidRPr="006F0BE8" w:rsidRDefault="00794757" w:rsidP="006F0BE8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A729E" w14:textId="77777777" w:rsidR="00794757" w:rsidRPr="00F17738" w:rsidRDefault="00794757" w:rsidP="008F5F48">
    <w:pPr>
      <w:pStyle w:val="Kopfzeile"/>
      <w:ind w:right="12"/>
      <w:rPr>
        <w:rFonts w:ascii="Verdana" w:hAnsi="Verdana"/>
        <w:sz w:val="20"/>
      </w:rPr>
    </w:pPr>
  </w:p>
  <w:p w14:paraId="646BFF79" w14:textId="77777777" w:rsidR="00794757" w:rsidRPr="00F17738" w:rsidRDefault="00794757" w:rsidP="008F5F48">
    <w:pPr>
      <w:pStyle w:val="Kopfzeile"/>
      <w:ind w:right="12"/>
      <w:rPr>
        <w:rFonts w:ascii="Verdana" w:hAnsi="Verdana"/>
        <w:sz w:val="20"/>
      </w:rPr>
    </w:pPr>
  </w:p>
  <w:p w14:paraId="1E34AA56" w14:textId="77777777" w:rsidR="00794757" w:rsidRPr="00F17738" w:rsidRDefault="00794757" w:rsidP="008F5F48">
    <w:pPr>
      <w:pStyle w:val="Kopfzeile"/>
      <w:ind w:right="12"/>
      <w:rPr>
        <w:rFonts w:ascii="Verdana" w:hAnsi="Verdana"/>
        <w:sz w:val="20"/>
      </w:rPr>
    </w:pPr>
  </w:p>
  <w:p w14:paraId="657775DD" w14:textId="77777777" w:rsidR="00794757" w:rsidRPr="00F17738" w:rsidRDefault="00794757" w:rsidP="008F5F48">
    <w:pPr>
      <w:pStyle w:val="Kopfzeile"/>
      <w:ind w:right="12"/>
      <w:rPr>
        <w:rFonts w:ascii="Verdana" w:hAnsi="Verdana"/>
        <w:sz w:val="20"/>
      </w:rPr>
    </w:pPr>
  </w:p>
  <w:p w14:paraId="32F18A35" w14:textId="77777777" w:rsidR="00794757" w:rsidRPr="00F17738" w:rsidRDefault="00794757" w:rsidP="008F5F48">
    <w:pPr>
      <w:pStyle w:val="Kopfzeile"/>
      <w:ind w:right="12"/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0" wp14:anchorId="41F63389" wp14:editId="1D23EFF4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8890" b="0"/>
          <wp:wrapNone/>
          <wp:docPr id="1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4FF4CF" w14:textId="77777777" w:rsidR="00794757" w:rsidRPr="00F17738" w:rsidRDefault="00794757" w:rsidP="008F5F48">
    <w:pPr>
      <w:pStyle w:val="Kopfzeile"/>
      <w:ind w:right="12"/>
      <w:rPr>
        <w:rFonts w:ascii="Verdana" w:hAnsi="Verdana"/>
        <w:sz w:val="20"/>
      </w:rPr>
    </w:pPr>
  </w:p>
  <w:p w14:paraId="516F9612" w14:textId="77777777" w:rsidR="00794757" w:rsidRPr="00F17738" w:rsidRDefault="00794757" w:rsidP="008F5F48">
    <w:pPr>
      <w:pStyle w:val="Kopfzeile"/>
      <w:ind w:right="12"/>
      <w:rPr>
        <w:rFonts w:ascii="Verdana" w:hAnsi="Verdana"/>
        <w:sz w:val="20"/>
      </w:rPr>
    </w:pPr>
  </w:p>
  <w:p w14:paraId="40DD0788" w14:textId="77777777" w:rsidR="00794757" w:rsidRPr="00F17738" w:rsidRDefault="00794757" w:rsidP="008F5F48">
    <w:pPr>
      <w:pStyle w:val="Kopfzeile"/>
      <w:ind w:right="12"/>
      <w:rPr>
        <w:rFonts w:ascii="Verdana" w:hAnsi="Verdana"/>
        <w:sz w:val="20"/>
      </w:rPr>
    </w:pPr>
  </w:p>
  <w:p w14:paraId="7A76C1D2" w14:textId="77777777" w:rsidR="00794757" w:rsidRPr="00F17738" w:rsidRDefault="00794757" w:rsidP="008F5F48">
    <w:pPr>
      <w:pStyle w:val="Kopfzeile"/>
      <w:ind w:right="12"/>
      <w:rPr>
        <w:rFonts w:ascii="Verdana" w:hAnsi="Verdana"/>
        <w:sz w:val="20"/>
      </w:rPr>
    </w:pPr>
  </w:p>
  <w:p w14:paraId="38F69831" w14:textId="77777777" w:rsidR="00794757" w:rsidRPr="00F17738" w:rsidRDefault="00794757" w:rsidP="008F5F48">
    <w:pPr>
      <w:pStyle w:val="Kopfzeile"/>
      <w:ind w:right="12"/>
      <w:rPr>
        <w:rFonts w:ascii="Verdana" w:hAnsi="Verdana"/>
        <w:sz w:val="20"/>
      </w:rPr>
    </w:pPr>
  </w:p>
  <w:p w14:paraId="67394FDD" w14:textId="77777777" w:rsidR="00794757" w:rsidRPr="00F17738" w:rsidRDefault="00794757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B2508"/>
    <w:multiLevelType w:val="hybridMultilevel"/>
    <w:tmpl w:val="701EC33A"/>
    <w:lvl w:ilvl="0" w:tplc="4B64A0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196930"/>
    <w:multiLevelType w:val="hybridMultilevel"/>
    <w:tmpl w:val="0DE8BE7A"/>
    <w:lvl w:ilvl="0" w:tplc="0A6E760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59"/>
    <w:rsid w:val="000079E4"/>
    <w:rsid w:val="00013A64"/>
    <w:rsid w:val="0001653D"/>
    <w:rsid w:val="0002408F"/>
    <w:rsid w:val="000453F9"/>
    <w:rsid w:val="000671BD"/>
    <w:rsid w:val="00077B36"/>
    <w:rsid w:val="00077D0C"/>
    <w:rsid w:val="0009633F"/>
    <w:rsid w:val="000A0822"/>
    <w:rsid w:val="000A32BC"/>
    <w:rsid w:val="000A7B89"/>
    <w:rsid w:val="000B3BF8"/>
    <w:rsid w:val="000B3D4A"/>
    <w:rsid w:val="000B5865"/>
    <w:rsid w:val="000C02B1"/>
    <w:rsid w:val="000E5816"/>
    <w:rsid w:val="000E6946"/>
    <w:rsid w:val="000F2DC6"/>
    <w:rsid w:val="00102158"/>
    <w:rsid w:val="00110484"/>
    <w:rsid w:val="00112EFB"/>
    <w:rsid w:val="00123771"/>
    <w:rsid w:val="00123B76"/>
    <w:rsid w:val="00130F82"/>
    <w:rsid w:val="00132B87"/>
    <w:rsid w:val="00134E77"/>
    <w:rsid w:val="001454B6"/>
    <w:rsid w:val="00152D54"/>
    <w:rsid w:val="001557B0"/>
    <w:rsid w:val="00157C54"/>
    <w:rsid w:val="00172DBF"/>
    <w:rsid w:val="001734DC"/>
    <w:rsid w:val="00184530"/>
    <w:rsid w:val="0018564D"/>
    <w:rsid w:val="001904D1"/>
    <w:rsid w:val="001A26F1"/>
    <w:rsid w:val="001B621B"/>
    <w:rsid w:val="001C0CC3"/>
    <w:rsid w:val="001C7543"/>
    <w:rsid w:val="001D1868"/>
    <w:rsid w:val="001D2CDB"/>
    <w:rsid w:val="00207FC6"/>
    <w:rsid w:val="00211D05"/>
    <w:rsid w:val="00240866"/>
    <w:rsid w:val="00245C9E"/>
    <w:rsid w:val="00260A78"/>
    <w:rsid w:val="002630D8"/>
    <w:rsid w:val="00264325"/>
    <w:rsid w:val="00274BF6"/>
    <w:rsid w:val="002929B6"/>
    <w:rsid w:val="002956A9"/>
    <w:rsid w:val="0029603C"/>
    <w:rsid w:val="002A4D33"/>
    <w:rsid w:val="002A71D3"/>
    <w:rsid w:val="002B325C"/>
    <w:rsid w:val="002B68C4"/>
    <w:rsid w:val="002B7AC7"/>
    <w:rsid w:val="002B7BFA"/>
    <w:rsid w:val="002C118D"/>
    <w:rsid w:val="002C2359"/>
    <w:rsid w:val="002D3B75"/>
    <w:rsid w:val="003118F1"/>
    <w:rsid w:val="00316E24"/>
    <w:rsid w:val="00320044"/>
    <w:rsid w:val="003237A6"/>
    <w:rsid w:val="00340E9C"/>
    <w:rsid w:val="00356E80"/>
    <w:rsid w:val="00361CF2"/>
    <w:rsid w:val="00362050"/>
    <w:rsid w:val="00364DCD"/>
    <w:rsid w:val="00365E12"/>
    <w:rsid w:val="00382198"/>
    <w:rsid w:val="00397AC4"/>
    <w:rsid w:val="003C6AAE"/>
    <w:rsid w:val="003D2799"/>
    <w:rsid w:val="003D4F5D"/>
    <w:rsid w:val="003E43B4"/>
    <w:rsid w:val="003E4B96"/>
    <w:rsid w:val="003E50A5"/>
    <w:rsid w:val="003F1AB5"/>
    <w:rsid w:val="003F74D0"/>
    <w:rsid w:val="00404468"/>
    <w:rsid w:val="00432245"/>
    <w:rsid w:val="00441012"/>
    <w:rsid w:val="00441963"/>
    <w:rsid w:val="0044413D"/>
    <w:rsid w:val="0045071B"/>
    <w:rsid w:val="004547BF"/>
    <w:rsid w:val="00473340"/>
    <w:rsid w:val="00473E7D"/>
    <w:rsid w:val="00476B0F"/>
    <w:rsid w:val="00482296"/>
    <w:rsid w:val="004826F0"/>
    <w:rsid w:val="0049418D"/>
    <w:rsid w:val="004A1653"/>
    <w:rsid w:val="004A457B"/>
    <w:rsid w:val="004B0623"/>
    <w:rsid w:val="004B3DB8"/>
    <w:rsid w:val="004B4584"/>
    <w:rsid w:val="004B4CC2"/>
    <w:rsid w:val="004D2FCB"/>
    <w:rsid w:val="004E29FC"/>
    <w:rsid w:val="004F038C"/>
    <w:rsid w:val="004F2266"/>
    <w:rsid w:val="004F7079"/>
    <w:rsid w:val="00500004"/>
    <w:rsid w:val="00500B29"/>
    <w:rsid w:val="005072AE"/>
    <w:rsid w:val="00514260"/>
    <w:rsid w:val="00526F46"/>
    <w:rsid w:val="005302CE"/>
    <w:rsid w:val="00533F65"/>
    <w:rsid w:val="00543C34"/>
    <w:rsid w:val="005448AB"/>
    <w:rsid w:val="005456EE"/>
    <w:rsid w:val="00547D6D"/>
    <w:rsid w:val="00553180"/>
    <w:rsid w:val="00560D63"/>
    <w:rsid w:val="00585319"/>
    <w:rsid w:val="005B227D"/>
    <w:rsid w:val="005B4DC3"/>
    <w:rsid w:val="005B5619"/>
    <w:rsid w:val="005C5351"/>
    <w:rsid w:val="005D4C87"/>
    <w:rsid w:val="005D550E"/>
    <w:rsid w:val="005E0BBB"/>
    <w:rsid w:val="005F5E8B"/>
    <w:rsid w:val="00600E53"/>
    <w:rsid w:val="00614A49"/>
    <w:rsid w:val="0061798D"/>
    <w:rsid w:val="006307D7"/>
    <w:rsid w:val="00631FB1"/>
    <w:rsid w:val="006457CF"/>
    <w:rsid w:val="00651091"/>
    <w:rsid w:val="0065348D"/>
    <w:rsid w:val="00654989"/>
    <w:rsid w:val="006611CF"/>
    <w:rsid w:val="00661F0B"/>
    <w:rsid w:val="00664A24"/>
    <w:rsid w:val="00683EF3"/>
    <w:rsid w:val="00691AA8"/>
    <w:rsid w:val="006A76CA"/>
    <w:rsid w:val="006C5546"/>
    <w:rsid w:val="006C5B9E"/>
    <w:rsid w:val="006C6A78"/>
    <w:rsid w:val="006D36F9"/>
    <w:rsid w:val="006E0029"/>
    <w:rsid w:val="006F0BE8"/>
    <w:rsid w:val="006F435B"/>
    <w:rsid w:val="006F4393"/>
    <w:rsid w:val="006F49FA"/>
    <w:rsid w:val="006F78FE"/>
    <w:rsid w:val="00720539"/>
    <w:rsid w:val="00721853"/>
    <w:rsid w:val="00726628"/>
    <w:rsid w:val="007420F8"/>
    <w:rsid w:val="00746469"/>
    <w:rsid w:val="00765E37"/>
    <w:rsid w:val="00772C01"/>
    <w:rsid w:val="007747B6"/>
    <w:rsid w:val="00783A5E"/>
    <w:rsid w:val="007864F1"/>
    <w:rsid w:val="00793DE9"/>
    <w:rsid w:val="00794757"/>
    <w:rsid w:val="007C3759"/>
    <w:rsid w:val="007D7D60"/>
    <w:rsid w:val="007F3212"/>
    <w:rsid w:val="008045E1"/>
    <w:rsid w:val="008176B2"/>
    <w:rsid w:val="00821BA4"/>
    <w:rsid w:val="0083522C"/>
    <w:rsid w:val="008446CD"/>
    <w:rsid w:val="008657FE"/>
    <w:rsid w:val="00883645"/>
    <w:rsid w:val="008920B0"/>
    <w:rsid w:val="008A424F"/>
    <w:rsid w:val="008B1883"/>
    <w:rsid w:val="008B617B"/>
    <w:rsid w:val="008C2253"/>
    <w:rsid w:val="008D26BA"/>
    <w:rsid w:val="008D6717"/>
    <w:rsid w:val="008E7760"/>
    <w:rsid w:val="008F5F48"/>
    <w:rsid w:val="0090422E"/>
    <w:rsid w:val="00906898"/>
    <w:rsid w:val="00936962"/>
    <w:rsid w:val="00951375"/>
    <w:rsid w:val="009613DC"/>
    <w:rsid w:val="00961415"/>
    <w:rsid w:val="00962661"/>
    <w:rsid w:val="00966BBB"/>
    <w:rsid w:val="00967E91"/>
    <w:rsid w:val="009714B0"/>
    <w:rsid w:val="00977A5F"/>
    <w:rsid w:val="00977A87"/>
    <w:rsid w:val="00984F8E"/>
    <w:rsid w:val="0098756C"/>
    <w:rsid w:val="00990335"/>
    <w:rsid w:val="00995F0D"/>
    <w:rsid w:val="009A05EE"/>
    <w:rsid w:val="009A1070"/>
    <w:rsid w:val="009A48B0"/>
    <w:rsid w:val="009B48FF"/>
    <w:rsid w:val="009B564D"/>
    <w:rsid w:val="009C6B13"/>
    <w:rsid w:val="009E0942"/>
    <w:rsid w:val="009E188F"/>
    <w:rsid w:val="009E32AD"/>
    <w:rsid w:val="009F6805"/>
    <w:rsid w:val="009F752B"/>
    <w:rsid w:val="00A12538"/>
    <w:rsid w:val="00A23768"/>
    <w:rsid w:val="00A27173"/>
    <w:rsid w:val="00A34AA7"/>
    <w:rsid w:val="00A3721C"/>
    <w:rsid w:val="00A54DDA"/>
    <w:rsid w:val="00A643F8"/>
    <w:rsid w:val="00A66992"/>
    <w:rsid w:val="00A708D7"/>
    <w:rsid w:val="00A76415"/>
    <w:rsid w:val="00AA09F4"/>
    <w:rsid w:val="00AA2A8D"/>
    <w:rsid w:val="00AA4C14"/>
    <w:rsid w:val="00AC17F0"/>
    <w:rsid w:val="00AC2AE0"/>
    <w:rsid w:val="00AC7A23"/>
    <w:rsid w:val="00AD3E26"/>
    <w:rsid w:val="00AE1DF1"/>
    <w:rsid w:val="00AE43B7"/>
    <w:rsid w:val="00AF0A61"/>
    <w:rsid w:val="00B1340F"/>
    <w:rsid w:val="00B139E4"/>
    <w:rsid w:val="00B164DD"/>
    <w:rsid w:val="00B270D9"/>
    <w:rsid w:val="00B3540F"/>
    <w:rsid w:val="00B45E40"/>
    <w:rsid w:val="00B466F2"/>
    <w:rsid w:val="00B6668B"/>
    <w:rsid w:val="00B67561"/>
    <w:rsid w:val="00B70B1A"/>
    <w:rsid w:val="00B71C6F"/>
    <w:rsid w:val="00B96DE2"/>
    <w:rsid w:val="00B97F01"/>
    <w:rsid w:val="00BA0052"/>
    <w:rsid w:val="00BB1A73"/>
    <w:rsid w:val="00BB3C30"/>
    <w:rsid w:val="00BC5FE7"/>
    <w:rsid w:val="00BD22AC"/>
    <w:rsid w:val="00BD2643"/>
    <w:rsid w:val="00BD4058"/>
    <w:rsid w:val="00BD64D4"/>
    <w:rsid w:val="00BF4F29"/>
    <w:rsid w:val="00BF5681"/>
    <w:rsid w:val="00BF7DEC"/>
    <w:rsid w:val="00C019EB"/>
    <w:rsid w:val="00C03D20"/>
    <w:rsid w:val="00C108BC"/>
    <w:rsid w:val="00C11645"/>
    <w:rsid w:val="00C1516A"/>
    <w:rsid w:val="00C16450"/>
    <w:rsid w:val="00C34BE7"/>
    <w:rsid w:val="00C428F9"/>
    <w:rsid w:val="00C4480F"/>
    <w:rsid w:val="00C4636C"/>
    <w:rsid w:val="00C6770A"/>
    <w:rsid w:val="00C70F49"/>
    <w:rsid w:val="00C7427E"/>
    <w:rsid w:val="00C764E9"/>
    <w:rsid w:val="00C900A9"/>
    <w:rsid w:val="00C95498"/>
    <w:rsid w:val="00C96EBA"/>
    <w:rsid w:val="00CA481B"/>
    <w:rsid w:val="00CA4B57"/>
    <w:rsid w:val="00CC7504"/>
    <w:rsid w:val="00CE1CD9"/>
    <w:rsid w:val="00CF6078"/>
    <w:rsid w:val="00D04407"/>
    <w:rsid w:val="00D1225B"/>
    <w:rsid w:val="00D15735"/>
    <w:rsid w:val="00D22ED7"/>
    <w:rsid w:val="00D313F7"/>
    <w:rsid w:val="00D413F1"/>
    <w:rsid w:val="00D47FA5"/>
    <w:rsid w:val="00D5108C"/>
    <w:rsid w:val="00D5605B"/>
    <w:rsid w:val="00D6261E"/>
    <w:rsid w:val="00D65513"/>
    <w:rsid w:val="00D700B9"/>
    <w:rsid w:val="00D738A7"/>
    <w:rsid w:val="00D74838"/>
    <w:rsid w:val="00D80DBE"/>
    <w:rsid w:val="00D90D76"/>
    <w:rsid w:val="00DA49A1"/>
    <w:rsid w:val="00DB2E93"/>
    <w:rsid w:val="00DC2CC0"/>
    <w:rsid w:val="00DD5149"/>
    <w:rsid w:val="00DD67C1"/>
    <w:rsid w:val="00DF6351"/>
    <w:rsid w:val="00E01673"/>
    <w:rsid w:val="00E02B7A"/>
    <w:rsid w:val="00E07055"/>
    <w:rsid w:val="00E2445B"/>
    <w:rsid w:val="00E33130"/>
    <w:rsid w:val="00E358C1"/>
    <w:rsid w:val="00E436DA"/>
    <w:rsid w:val="00E43922"/>
    <w:rsid w:val="00E45475"/>
    <w:rsid w:val="00E53639"/>
    <w:rsid w:val="00E55BEA"/>
    <w:rsid w:val="00E569A0"/>
    <w:rsid w:val="00E76BA0"/>
    <w:rsid w:val="00E868B2"/>
    <w:rsid w:val="00E93051"/>
    <w:rsid w:val="00EB524C"/>
    <w:rsid w:val="00EC0A0C"/>
    <w:rsid w:val="00EC0E74"/>
    <w:rsid w:val="00EC6520"/>
    <w:rsid w:val="00ED1040"/>
    <w:rsid w:val="00ED47BD"/>
    <w:rsid w:val="00EE24A0"/>
    <w:rsid w:val="00EE3329"/>
    <w:rsid w:val="00F21EA0"/>
    <w:rsid w:val="00F37865"/>
    <w:rsid w:val="00F45D66"/>
    <w:rsid w:val="00F6392A"/>
    <w:rsid w:val="00F67138"/>
    <w:rsid w:val="00F737A1"/>
    <w:rsid w:val="00F73C92"/>
    <w:rsid w:val="00F77BB5"/>
    <w:rsid w:val="00F80249"/>
    <w:rsid w:val="00F90257"/>
    <w:rsid w:val="00F91FB0"/>
    <w:rsid w:val="00F9437E"/>
    <w:rsid w:val="00F955C9"/>
    <w:rsid w:val="00FC2BA4"/>
    <w:rsid w:val="00FE0AC5"/>
    <w:rsid w:val="00FF18F8"/>
    <w:rsid w:val="00FF1DCB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919E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eiche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eichen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eiche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eichen">
    <w:name w:val="Überschrift 1 Zeichen"/>
    <w:aliases w:val="F1: Hauptüberschrift Zeiche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eiche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eiche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eichen">
    <w:name w:val="Überschrift 2 Zeichen"/>
    <w:basedOn w:val="berschrift1Zeiche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Gesichtet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eiche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eiche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eiche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eichen">
    <w:name w:val="Überschrift 3 Zeichen"/>
    <w:basedOn w:val="Absatz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eiche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D47FA5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standardschriftart"/>
    <w:link w:val="MMKurzprofil"/>
    <w:rsid w:val="00D47FA5"/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eiche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eichen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eiche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eichen">
    <w:name w:val="Überschrift 1 Zeichen"/>
    <w:aliases w:val="F1: Hauptüberschrift Zeiche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eiche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eiche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eichen">
    <w:name w:val="Überschrift 2 Zeichen"/>
    <w:basedOn w:val="berschrift1Zeiche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Gesichtet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eiche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eiche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eiche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eichen">
    <w:name w:val="Überschrift 3 Zeichen"/>
    <w:basedOn w:val="Absatz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eiche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D47FA5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standardschriftart"/>
    <w:link w:val="MMKurzprofil"/>
    <w:rsid w:val="00D47FA5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edia.leoni.com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leoni.com/?gb12&amp;L=0" TargetMode="External"/><Relationship Id="rId11" Type="http://schemas.openxmlformats.org/officeDocument/2006/relationships/hyperlink" Target="http://www.facebook.com/pages/LEONI-Group-official-profile/193146627391754" TargetMode="External"/><Relationship Id="rId12" Type="http://schemas.openxmlformats.org/officeDocument/2006/relationships/image" Target="media/image1.png"/><Relationship Id="rId13" Type="http://schemas.openxmlformats.org/officeDocument/2006/relationships/hyperlink" Target="https://www.xing.com/companies/leoniag" TargetMode="External"/><Relationship Id="rId14" Type="http://schemas.openxmlformats.org/officeDocument/2006/relationships/image" Target="media/image2.png"/><Relationship Id="rId15" Type="http://schemas.openxmlformats.org/officeDocument/2006/relationships/hyperlink" Target="mailto:presse@leoni.com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header" Target="header2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D5EF3-31EE-A741-A7DF-84282662F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1144</Words>
  <Characters>7213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Media Relations Medienmitteilungen</vt:lpstr>
    </vt:vector>
  </TitlesOfParts>
  <Manager>Sven Schmidt</Manager>
  <Company>LEONI</Company>
  <LinksUpToDate>false</LinksUpToDate>
  <CharactersWithSpaces>8341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Relations Medienmitteilungen</dc:title>
  <dc:creator>Corporate Communications</dc:creator>
  <cp:lastModifiedBy>Bastian Braeu</cp:lastModifiedBy>
  <cp:revision>5</cp:revision>
  <cp:lastPrinted>2013-03-15T13:31:00Z</cp:lastPrinted>
  <dcterms:created xsi:type="dcterms:W3CDTF">2013-03-15T13:30:00Z</dcterms:created>
  <dcterms:modified xsi:type="dcterms:W3CDTF">2013-03-20T08:46:00Z</dcterms:modified>
</cp:coreProperties>
</file>