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17" w:rsidRPr="00AE6517" w:rsidRDefault="00AE6517" w:rsidP="00AE6517">
      <w:pPr>
        <w:pStyle w:val="MMU1"/>
      </w:pPr>
      <w:bookmarkStart w:id="0" w:name="_GoBack"/>
      <w:bookmarkEnd w:id="0"/>
      <w:r w:rsidRPr="00AE6517">
        <w:t xml:space="preserve">Leoni keeps profit steady in 2012 despite slump in European car sales  </w:t>
      </w:r>
    </w:p>
    <w:p w:rsidR="00AE6517" w:rsidRPr="006F0BE8" w:rsidRDefault="00AE6517" w:rsidP="00AE6517">
      <w:pPr>
        <w:pStyle w:val="MMU2"/>
      </w:pPr>
      <w:r>
        <w:t>Next growth surge from 2014</w:t>
      </w:r>
    </w:p>
    <w:p w:rsidR="00AE6517" w:rsidRPr="00AE6517" w:rsidRDefault="00AE6517" w:rsidP="00AE6517">
      <w:pPr>
        <w:pStyle w:val="MMVorspann"/>
        <w:rPr>
          <w:lang w:val="en-US"/>
        </w:rPr>
      </w:pPr>
      <w:r w:rsidRPr="00AE6517">
        <w:rPr>
          <w:lang w:val="en-US"/>
        </w:rPr>
        <w:t>Nuremberg, 20 March 2013 - Leoni succeeded in holding its profit steady in the 2012 financial year despite the downtrend in the European automotive sector. The leading provider of cables and cable systems to the automotive sector and other industries generated earnings before interest and taxes (EBIT) of EUR 235.8 million (</w:t>
      </w:r>
      <w:r>
        <w:rPr>
          <w:lang w:val="en-US"/>
        </w:rPr>
        <w:t>2011</w:t>
      </w:r>
      <w:r w:rsidRPr="00AE6517">
        <w:rPr>
          <w:lang w:val="en-US"/>
        </w:rPr>
        <w:t xml:space="preserve">: EUR 237.1 million). The consolidated net income of EUR 156.0 million matched the previous year's figure (2011: EUR 156.0 million). The sale of Leoni Studer Hard AG boosted both pre-tax earnings and net income. In terms of sales, the Company generated a new high of EUR 3.81 billion </w:t>
      </w:r>
      <w:r>
        <w:rPr>
          <w:lang w:val="en-US"/>
        </w:rPr>
        <w:t>–</w:t>
      </w:r>
      <w:r w:rsidRPr="00AE6517">
        <w:rPr>
          <w:lang w:val="en-US"/>
        </w:rPr>
        <w:t xml:space="preserve"> and thereby exceeded the previous year's record (2011: EUR 3.70 billion) by about 3 percent </w:t>
      </w:r>
      <w:r>
        <w:rPr>
          <w:lang w:val="en-US"/>
        </w:rPr>
        <w:t>–</w:t>
      </w:r>
      <w:r w:rsidRPr="00AE6517">
        <w:rPr>
          <w:lang w:val="en-US"/>
        </w:rPr>
        <w:t xml:space="preserve"> thanks</w:t>
      </w:r>
      <w:r>
        <w:rPr>
          <w:lang w:val="en-US"/>
        </w:rPr>
        <w:t xml:space="preserve"> </w:t>
      </w:r>
      <w:r w:rsidRPr="00AE6517">
        <w:rPr>
          <w:lang w:val="en-US"/>
        </w:rPr>
        <w:t>not least to having taken over the joint venture partner Daekyeung completely at the beginning of 2012 and having consolidated the business in full for the first time. Leoni intends to pay out an unchanged dividend of EUR 1.50 (previous year: EUR 1.50).</w:t>
      </w:r>
    </w:p>
    <w:p w:rsidR="00AE6517" w:rsidRPr="00AE6517" w:rsidRDefault="00AE6517" w:rsidP="00AE6517">
      <w:pPr>
        <w:pStyle w:val="MMFlietext"/>
        <w:rPr>
          <w:lang w:val="en-US"/>
        </w:rPr>
      </w:pPr>
      <w:r w:rsidRPr="00AE6517">
        <w:rPr>
          <w:lang w:val="en-US"/>
        </w:rPr>
        <w:t>"Mixed trends in the various industries, customer groups and regions affected our 2012 financial year," said Dr Klaus Probst, President and CEO of Leoni AG, at the Company's balance sheet press conference. "On the whole, Leoni recorded a very good first half of the year. In the second half, the economic downturn in various sectors adversely affected our business. Even so, demand in China, Russia and the United States was unabatedly dynamic – and thus underpinned our disproportionately strong growth in these markets."</w:t>
      </w:r>
    </w:p>
    <w:p w:rsidR="00AE6517" w:rsidRPr="00AE6517" w:rsidRDefault="00AE6517" w:rsidP="00AE6517">
      <w:pPr>
        <w:pStyle w:val="MMZwischenberschrift"/>
        <w:rPr>
          <w:lang w:val="en-US"/>
        </w:rPr>
      </w:pPr>
      <w:r w:rsidRPr="00AE6517">
        <w:rPr>
          <w:lang w:val="en-US"/>
        </w:rPr>
        <w:t xml:space="preserve">WCS: profit driven by extraordinary item  </w:t>
      </w:r>
    </w:p>
    <w:p w:rsidR="00AE6517" w:rsidRPr="00AE6517" w:rsidRDefault="00AE6517" w:rsidP="00AE6517">
      <w:pPr>
        <w:pStyle w:val="MMFlietext"/>
        <w:rPr>
          <w:lang w:val="en-US"/>
        </w:rPr>
      </w:pPr>
      <w:r w:rsidRPr="00AE6517">
        <w:rPr>
          <w:lang w:val="en-US"/>
        </w:rPr>
        <w:t xml:space="preserve">Performance in the markets of importance to the Wire &amp; Cable Solutions Division differed very widely in 2012. The automotive cables business enjoyed very good demand throughout the year; by contrast, trade in Business Group Communication &amp; Infrastructure was down. The division's external sales during the year under report were down slightly to EUR 1,602.6 million (2011: EUR 1,677.7 million). The division's EBIT benefited from the exceptional boost of </w:t>
      </w:r>
      <w:r w:rsidRPr="00AE6517">
        <w:rPr>
          <w:lang w:val="en-US"/>
        </w:rPr>
        <w:lastRenderedPageBreak/>
        <w:t xml:space="preserve">EUR 28.3 million from the sale of subsidiary Leoni Studer Hard AG and rose by more than 11 percent to EUR 101.3  million (2011: EUR 90.9 million). </w:t>
      </w:r>
    </w:p>
    <w:p w:rsidR="00AE6517" w:rsidRPr="00AE6517" w:rsidRDefault="00AE6517" w:rsidP="00AE6517">
      <w:pPr>
        <w:pStyle w:val="MMZwischenberschrift"/>
        <w:rPr>
          <w:lang w:val="en-US"/>
        </w:rPr>
      </w:pPr>
      <w:r w:rsidRPr="00AE6517">
        <w:rPr>
          <w:lang w:val="en-US"/>
        </w:rPr>
        <w:t>WSD: further growth in China, Russia and the United States</w:t>
      </w:r>
    </w:p>
    <w:p w:rsidR="00AE6517" w:rsidRPr="00AE6517" w:rsidRDefault="00AE6517" w:rsidP="00AE6517">
      <w:pPr>
        <w:pStyle w:val="MMFlietext"/>
        <w:rPr>
          <w:lang w:val="en-US"/>
        </w:rPr>
      </w:pPr>
      <w:r w:rsidRPr="00AE6517">
        <w:rPr>
          <w:lang w:val="en-US"/>
        </w:rPr>
        <w:t>The Wiring Systems Division (WSD) grew further during the year under report, especially so in China, Russia and the United States, and increased its sales by 9 percent to EUR 2,206</w:t>
      </w:r>
      <w:r>
        <w:rPr>
          <w:lang w:val="en-US"/>
        </w:rPr>
        <w:t>.4</w:t>
      </w:r>
      <w:r w:rsidRPr="00AE6517">
        <w:rPr>
          <w:lang w:val="en-US"/>
        </w:rPr>
        <w:t xml:space="preserve"> million (2011: EUR 2,023.8 million). The newly added Daekyeung business accounted for two thirds of this growth, namely EUR 120.5 million. However, due to the high integration costs</w:t>
      </w:r>
      <w:r w:rsidR="00FC3338">
        <w:rPr>
          <w:lang w:val="en-US"/>
        </w:rPr>
        <w:t xml:space="preserve">, a performance being not yet on Group level </w:t>
      </w:r>
      <w:r w:rsidRPr="00AE6517">
        <w:rPr>
          <w:lang w:val="en-US"/>
        </w:rPr>
        <w:t>and meanwhile weaker local demand, the subsidiary exerted a negative effect of EUR 25.1 million on the division's earnings. Its EBIT for the year under report amounted to EUR 134.5 million, down from EUR 146.2 million in the previous year.</w:t>
      </w:r>
    </w:p>
    <w:p w:rsidR="00AE6517" w:rsidRPr="00AE6517" w:rsidRDefault="00AE6517" w:rsidP="00AE6517">
      <w:pPr>
        <w:pStyle w:val="MMZwischenberschrift"/>
        <w:rPr>
          <w:lang w:val="en-US"/>
        </w:rPr>
      </w:pPr>
      <w:r w:rsidRPr="00AE6517">
        <w:rPr>
          <w:lang w:val="en-US"/>
        </w:rPr>
        <w:t xml:space="preserve">Cash flow: capex at record level </w:t>
      </w:r>
    </w:p>
    <w:p w:rsidR="00AE6517" w:rsidRPr="00AE6517" w:rsidRDefault="00AE6517" w:rsidP="00AE6517">
      <w:pPr>
        <w:pStyle w:val="MMFlietext"/>
        <w:rPr>
          <w:lang w:val="en-US"/>
        </w:rPr>
      </w:pPr>
      <w:r w:rsidRPr="00AE6517">
        <w:rPr>
          <w:lang w:val="en-US"/>
        </w:rPr>
        <w:t>Leoni invested a record total of EUR 180.9 million in fiscal 2012 (2011: EUR 140.1 million), which equates to a 29 percent increase. Of this total, EUR 154.2 million (2011: EUR 137.4 million) involved property plant and equipment as well as intangible assets; the remaining EUR 26.7 million (2011: EUR 2.7 million) was spent mainly on the purchase of the outstanding shares in Daekyeung. Despite the increased amount of capital expenditure the Group generated, based on the good earnings situation, cash provided by operating activities of EUR 211.7 million (2011: EUR 246.1 million). Free cash flow before acquisitions and divestments of EUR 63.5 million (2011: EUR 121.2 million) was in line with expectations.</w:t>
      </w:r>
    </w:p>
    <w:p w:rsidR="00AE6517" w:rsidRPr="00AE6517" w:rsidRDefault="00AE6517" w:rsidP="00AE6517">
      <w:pPr>
        <w:pStyle w:val="MMZwischenberschrift"/>
        <w:rPr>
          <w:lang w:val="en-US"/>
        </w:rPr>
      </w:pPr>
      <w:r w:rsidRPr="00AE6517">
        <w:rPr>
          <w:lang w:val="en-US"/>
        </w:rPr>
        <w:t xml:space="preserve">Financial situation: gearing down, refinancing assured  </w:t>
      </w:r>
    </w:p>
    <w:p w:rsidR="00AE6517" w:rsidRPr="00AE6517" w:rsidRDefault="00AE6517" w:rsidP="00AE6517">
      <w:pPr>
        <w:pStyle w:val="MMFlietext"/>
        <w:rPr>
          <w:lang w:val="en-US"/>
        </w:rPr>
      </w:pPr>
      <w:r w:rsidRPr="00AE6517">
        <w:rPr>
          <w:lang w:val="en-US"/>
        </w:rPr>
        <w:t>Based on its good earnings performance, Leoni boosted its equity by another substantial amount by the end of year under report</w:t>
      </w:r>
      <w:r w:rsidR="00A94085">
        <w:rPr>
          <w:lang w:val="en-US"/>
        </w:rPr>
        <w:t>,</w:t>
      </w:r>
      <w:r w:rsidRPr="00AE6517">
        <w:rPr>
          <w:lang w:val="en-US"/>
        </w:rPr>
        <w:t xml:space="preserve"> to EUR 845.1 million (31 December 2011: EUR 737.5 million). The equity ratio as at 31 December 2012 rose to 35.4 percent (31 December 2011: 31.8 percent) and thus reached its highest level since 2005. Net financial liabilities rose slightly during the year; from EUR 233.9 million to EUR 249.2 million. Gearing improved for the third time in succession and stood at 29 percent at the end of 2012 (31 December </w:t>
      </w:r>
      <w:r w:rsidRPr="00AE6517">
        <w:rPr>
          <w:lang w:val="en-US"/>
        </w:rPr>
        <w:lastRenderedPageBreak/>
        <w:t>2011: 3</w:t>
      </w:r>
      <w:r w:rsidR="00A94085">
        <w:rPr>
          <w:lang w:val="en-US"/>
        </w:rPr>
        <w:t>2</w:t>
      </w:r>
      <w:r w:rsidRPr="00AE6517">
        <w:rPr>
          <w:lang w:val="en-US"/>
        </w:rPr>
        <w:t xml:space="preserve"> percent). The return on capital employed (ROCE) as at 31 December 2012 was 20.8 percent (31 December 2011: 24.0 percent) and thus still above the long-term target figure of 20 percent. </w:t>
      </w:r>
    </w:p>
    <w:p w:rsidR="00AE6517" w:rsidRPr="00AE6517" w:rsidRDefault="00AE6517" w:rsidP="00AE6517">
      <w:pPr>
        <w:pStyle w:val="MMFlietext"/>
        <w:rPr>
          <w:lang w:val="en-US"/>
        </w:rPr>
      </w:pPr>
      <w:r w:rsidRPr="00AE6517">
        <w:rPr>
          <w:lang w:val="en-US"/>
        </w:rPr>
        <w:t>In 2012, Leoni issued a borrower's note loan in the amount of EUR 250 million on attractive interest terms and was thereby early in securing the Group's long-term refinancing. The Company furthermore applied for a development loan in the amount of EUR 100 million from the European Investment Bank, which has in the meantime been approved and will be used to develop cable systems for energy-efficient vehicles.</w:t>
      </w:r>
    </w:p>
    <w:p w:rsidR="00AE6517" w:rsidRPr="00AE6517" w:rsidRDefault="00AE6517" w:rsidP="00AE6517">
      <w:pPr>
        <w:pStyle w:val="MMZwischenberschrift"/>
        <w:rPr>
          <w:lang w:val="en-US"/>
        </w:rPr>
      </w:pPr>
      <w:r w:rsidRPr="00AE6517">
        <w:rPr>
          <w:lang w:val="en-US"/>
        </w:rPr>
        <w:t xml:space="preserve">Forecast: growth surge to follow a transitional year </w:t>
      </w:r>
    </w:p>
    <w:p w:rsidR="00AE6517" w:rsidRPr="00AE6517" w:rsidRDefault="00AE6517" w:rsidP="00AE6517">
      <w:pPr>
        <w:pStyle w:val="MMFlietext"/>
        <w:rPr>
          <w:lang w:val="en-US"/>
        </w:rPr>
      </w:pPr>
      <w:r w:rsidRPr="00AE6517">
        <w:rPr>
          <w:lang w:val="en-US"/>
        </w:rPr>
        <w:t xml:space="preserve">Leoni expects 2013 to be a year of transition in preparation for the next growth surge. The Company has budgeted for capital expenditure of EUR 190 million. Based on a conservative forecast, sales will amount to approximately EUR 3.7 </w:t>
      </w:r>
      <w:r w:rsidR="00B765CD">
        <w:rPr>
          <w:lang w:val="en-US"/>
        </w:rPr>
        <w:t>b</w:t>
      </w:r>
      <w:r w:rsidRPr="00AE6517">
        <w:rPr>
          <w:lang w:val="en-US"/>
        </w:rPr>
        <w:t xml:space="preserve">illion this financial year, with EBIT coming to </w:t>
      </w:r>
      <w:r w:rsidR="00FC3338">
        <w:rPr>
          <w:lang w:val="en-US"/>
        </w:rPr>
        <w:t xml:space="preserve">about </w:t>
      </w:r>
      <w:r w:rsidRPr="00AE6517">
        <w:rPr>
          <w:lang w:val="en-US"/>
        </w:rPr>
        <w:t>EUR 170 million. This cautious earnings forecast is attributed to smaller profit contributions due to the lower projected sales as well as substantial pre-production costs involving 16 pending start-ups in the Wiring Systems Division.</w:t>
      </w:r>
    </w:p>
    <w:p w:rsidR="00AE6517" w:rsidRPr="00AE6517" w:rsidRDefault="00AE6517" w:rsidP="00AE6517">
      <w:pPr>
        <w:pStyle w:val="MMFlietext"/>
        <w:rPr>
          <w:lang w:val="en-US"/>
        </w:rPr>
      </w:pPr>
      <w:r w:rsidRPr="00AE6517">
        <w:rPr>
          <w:lang w:val="en-US"/>
        </w:rPr>
        <w:t xml:space="preserve">Leoni is confident of achieving significant sales and earnings growth starting in 2014 and of increasing its </w:t>
      </w:r>
      <w:r w:rsidR="00B765CD">
        <w:rPr>
          <w:lang w:val="en-US"/>
        </w:rPr>
        <w:t xml:space="preserve">revenues </w:t>
      </w:r>
      <w:r w:rsidRPr="00AE6517">
        <w:rPr>
          <w:lang w:val="en-US"/>
        </w:rPr>
        <w:t xml:space="preserve">to </w:t>
      </w:r>
      <w:r w:rsidR="00FC3338">
        <w:rPr>
          <w:lang w:val="en-US"/>
        </w:rPr>
        <w:t xml:space="preserve">approximately </w:t>
      </w:r>
      <w:r w:rsidRPr="00AE6517">
        <w:rPr>
          <w:lang w:val="en-US"/>
        </w:rPr>
        <w:t xml:space="preserve">EUR 5 billion in 2016. This will in the process reflect a further shift in our business </w:t>
      </w:r>
      <w:r w:rsidR="00B765CD">
        <w:rPr>
          <w:lang w:val="en-US"/>
        </w:rPr>
        <w:t>–</w:t>
      </w:r>
      <w:r w:rsidRPr="00AE6517">
        <w:rPr>
          <w:lang w:val="en-US"/>
        </w:rPr>
        <w:t xml:space="preserve"> away</w:t>
      </w:r>
      <w:r w:rsidR="00B765CD">
        <w:rPr>
          <w:lang w:val="en-US"/>
        </w:rPr>
        <w:t xml:space="preserve"> </w:t>
      </w:r>
      <w:r w:rsidRPr="00AE6517">
        <w:rPr>
          <w:lang w:val="en-US"/>
        </w:rPr>
        <w:t xml:space="preserve">from Europe and towards the emerging markets as well as the NAFTA area. The BRIC countries including South Korea should account for at least 20 percent of consolidated sales in 2016. A 7-percent EBIT margin continues to be the medium-term objective. </w:t>
      </w:r>
    </w:p>
    <w:p w:rsidR="00AC5497" w:rsidRPr="00B765CD" w:rsidRDefault="00AC5497">
      <w:pPr>
        <w:pStyle w:val="MMFlietext"/>
        <w:rPr>
          <w:lang w:val="en-GB"/>
        </w:rPr>
      </w:pPr>
      <w:r w:rsidRPr="00B765CD">
        <w:rPr>
          <w:i/>
          <w:lang w:val="en-GB"/>
        </w:rPr>
        <w:t>(</w:t>
      </w:r>
      <w:r w:rsidR="00B8338C" w:rsidRPr="00B765CD">
        <w:rPr>
          <w:i/>
          <w:lang w:val="en-GB"/>
        </w:rPr>
        <w:t>5,</w:t>
      </w:r>
      <w:r w:rsidR="00FC3338">
        <w:rPr>
          <w:i/>
          <w:lang w:val="en-GB"/>
        </w:rPr>
        <w:t>938</w:t>
      </w:r>
      <w:r w:rsidR="00B765CD" w:rsidRPr="00B765CD">
        <w:rPr>
          <w:i/>
          <w:lang w:val="en-GB"/>
        </w:rPr>
        <w:t xml:space="preserve"> </w:t>
      </w:r>
      <w:r w:rsidR="00B765CD" w:rsidRPr="00B765CD">
        <w:rPr>
          <w:i/>
          <w:snapToGrid w:val="0"/>
          <w:lang w:val="en-GB"/>
        </w:rPr>
        <w:t>characters incl. blanks</w:t>
      </w:r>
      <w:r w:rsidRPr="00B765CD">
        <w:rPr>
          <w:i/>
          <w:lang w:val="en-GB"/>
        </w:rPr>
        <w:t>)</w:t>
      </w:r>
    </w:p>
    <w:p w:rsidR="00E26F48" w:rsidRDefault="0004329A" w:rsidP="00E26F48">
      <w:pPr>
        <w:pStyle w:val="MMKurzprofilberschrift"/>
        <w:spacing w:after="120"/>
        <w:rPr>
          <w:rFonts w:cs="Times New Roman"/>
          <w:szCs w:val="24"/>
          <w:lang w:val="en-GB"/>
        </w:rPr>
      </w:pPr>
      <w:r>
        <w:rPr>
          <w:rFonts w:cs="Times New Roman"/>
          <w:szCs w:val="24"/>
          <w:lang w:val="en-GB"/>
        </w:rPr>
        <w:br w:type="page"/>
      </w:r>
      <w:r w:rsidR="00E26F48" w:rsidRPr="008218D9">
        <w:rPr>
          <w:rFonts w:cs="Times New Roman"/>
          <w:szCs w:val="24"/>
          <w:lang w:val="en-GB"/>
        </w:rPr>
        <w:lastRenderedPageBreak/>
        <w:t>Leoni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4077"/>
        <w:gridCol w:w="1276"/>
        <w:gridCol w:w="1276"/>
        <w:gridCol w:w="1276"/>
      </w:tblGrid>
      <w:tr w:rsidR="009E06E1" w:rsidRPr="00DF6351" w:rsidTr="00B8338C">
        <w:trPr>
          <w:trHeight w:hRule="exact" w:val="227"/>
        </w:trPr>
        <w:tc>
          <w:tcPr>
            <w:tcW w:w="4077" w:type="dxa"/>
          </w:tcPr>
          <w:p w:rsidR="009E06E1" w:rsidRPr="00DF6351" w:rsidRDefault="0004329A" w:rsidP="00B8338C">
            <w:pPr>
              <w:tabs>
                <w:tab w:val="left" w:pos="8505"/>
              </w:tabs>
              <w:rPr>
                <w:rFonts w:ascii="Arial" w:hAnsi="Arial" w:cs="Arial"/>
                <w:b/>
                <w:sz w:val="18"/>
                <w:szCs w:val="18"/>
              </w:rPr>
            </w:pPr>
            <w:r>
              <w:rPr>
                <w:rFonts w:ascii="Arial" w:hAnsi="Arial" w:cs="Arial"/>
                <w:b/>
                <w:sz w:val="18"/>
                <w:szCs w:val="18"/>
              </w:rPr>
              <w:t>Group k</w:t>
            </w:r>
            <w:r w:rsidR="009E06E1" w:rsidRPr="00DF6351">
              <w:rPr>
                <w:rFonts w:ascii="Arial" w:hAnsi="Arial" w:cs="Arial"/>
                <w:b/>
                <w:sz w:val="18"/>
                <w:szCs w:val="18"/>
              </w:rPr>
              <w:t>e</w:t>
            </w:r>
            <w:r w:rsidR="009E06E1">
              <w:rPr>
                <w:rFonts w:ascii="Arial" w:hAnsi="Arial" w:cs="Arial"/>
                <w:b/>
                <w:sz w:val="18"/>
                <w:szCs w:val="18"/>
              </w:rPr>
              <w:t>y figures</w:t>
            </w:r>
          </w:p>
        </w:tc>
        <w:tc>
          <w:tcPr>
            <w:tcW w:w="1276" w:type="dxa"/>
          </w:tcPr>
          <w:p w:rsidR="009E06E1" w:rsidRPr="00DF6351" w:rsidRDefault="009E06E1" w:rsidP="00B765CD">
            <w:pPr>
              <w:tabs>
                <w:tab w:val="left" w:pos="8505"/>
              </w:tabs>
              <w:rPr>
                <w:rFonts w:ascii="Arial" w:hAnsi="Arial" w:cs="Arial"/>
                <w:b/>
                <w:sz w:val="18"/>
                <w:szCs w:val="18"/>
              </w:rPr>
            </w:pPr>
            <w:r w:rsidRPr="00DF6351">
              <w:rPr>
                <w:rFonts w:ascii="Arial" w:hAnsi="Arial" w:cs="Arial"/>
                <w:b/>
                <w:sz w:val="18"/>
                <w:szCs w:val="18"/>
              </w:rPr>
              <w:t>20</w:t>
            </w:r>
            <w:r>
              <w:rPr>
                <w:rFonts w:ascii="Arial" w:hAnsi="Arial" w:cs="Arial"/>
                <w:b/>
                <w:sz w:val="18"/>
                <w:szCs w:val="18"/>
              </w:rPr>
              <w:t>1</w:t>
            </w:r>
            <w:r w:rsidR="00B765CD">
              <w:rPr>
                <w:rFonts w:ascii="Arial" w:hAnsi="Arial" w:cs="Arial"/>
                <w:b/>
                <w:sz w:val="18"/>
                <w:szCs w:val="18"/>
              </w:rPr>
              <w:t>2</w:t>
            </w:r>
          </w:p>
        </w:tc>
        <w:tc>
          <w:tcPr>
            <w:tcW w:w="1276" w:type="dxa"/>
          </w:tcPr>
          <w:p w:rsidR="009E06E1" w:rsidRPr="00DF6351" w:rsidRDefault="009E06E1" w:rsidP="00B765CD">
            <w:pPr>
              <w:tabs>
                <w:tab w:val="left" w:pos="8505"/>
              </w:tabs>
              <w:rPr>
                <w:rFonts w:ascii="Arial" w:hAnsi="Arial" w:cs="Arial"/>
                <w:b/>
                <w:sz w:val="18"/>
                <w:szCs w:val="18"/>
              </w:rPr>
            </w:pPr>
            <w:r w:rsidRPr="00DF6351">
              <w:rPr>
                <w:rFonts w:ascii="Arial" w:hAnsi="Arial" w:cs="Arial"/>
                <w:b/>
                <w:sz w:val="18"/>
                <w:szCs w:val="18"/>
              </w:rPr>
              <w:t>20</w:t>
            </w:r>
            <w:r>
              <w:rPr>
                <w:rFonts w:ascii="Arial" w:hAnsi="Arial" w:cs="Arial"/>
                <w:b/>
                <w:sz w:val="18"/>
                <w:szCs w:val="18"/>
              </w:rPr>
              <w:t>1</w:t>
            </w:r>
            <w:r w:rsidR="00B765CD">
              <w:rPr>
                <w:rFonts w:ascii="Arial" w:hAnsi="Arial" w:cs="Arial"/>
                <w:b/>
                <w:sz w:val="18"/>
                <w:szCs w:val="18"/>
              </w:rPr>
              <w:t>1</w:t>
            </w:r>
          </w:p>
        </w:tc>
        <w:tc>
          <w:tcPr>
            <w:tcW w:w="1276" w:type="dxa"/>
          </w:tcPr>
          <w:p w:rsidR="009E06E1" w:rsidRPr="00DF6351" w:rsidRDefault="009E06E1" w:rsidP="009E06E1">
            <w:pPr>
              <w:tabs>
                <w:tab w:val="left" w:pos="8505"/>
              </w:tabs>
              <w:ind w:left="-13" w:right="-108"/>
              <w:rPr>
                <w:rFonts w:ascii="Arial" w:hAnsi="Arial" w:cs="Arial"/>
                <w:b/>
                <w:sz w:val="18"/>
                <w:szCs w:val="18"/>
              </w:rPr>
            </w:pPr>
            <w:r>
              <w:rPr>
                <w:rFonts w:ascii="Arial" w:hAnsi="Arial" w:cs="Arial"/>
                <w:b/>
                <w:sz w:val="18"/>
                <w:szCs w:val="18"/>
              </w:rPr>
              <w:t>Change</w:t>
            </w:r>
          </w:p>
        </w:tc>
      </w:tr>
      <w:tr w:rsidR="00B765CD" w:rsidRPr="00B765CD" w:rsidTr="00B8338C">
        <w:trPr>
          <w:trHeight w:hRule="exact" w:val="284"/>
        </w:trPr>
        <w:tc>
          <w:tcPr>
            <w:tcW w:w="4077" w:type="dxa"/>
            <w:vAlign w:val="center"/>
          </w:tcPr>
          <w:p w:rsidR="00B765CD" w:rsidRPr="007F68CF" w:rsidRDefault="00B765CD" w:rsidP="00B765CD">
            <w:pPr>
              <w:tabs>
                <w:tab w:val="left" w:pos="8505"/>
              </w:tabs>
              <w:rPr>
                <w:lang w:val="en-GB"/>
              </w:rPr>
            </w:pPr>
            <w:r>
              <w:rPr>
                <w:rFonts w:ascii="Arial" w:hAnsi="Arial"/>
                <w:sz w:val="18"/>
                <w:lang w:val="en-GB"/>
              </w:rPr>
              <w:t>Consolidated s</w:t>
            </w:r>
            <w:r w:rsidRPr="007F68CF">
              <w:rPr>
                <w:rFonts w:ascii="Arial" w:hAnsi="Arial"/>
                <w:sz w:val="18"/>
                <w:lang w:val="en-GB"/>
              </w:rPr>
              <w:t>ales [€ mil</w:t>
            </w:r>
            <w:r>
              <w:rPr>
                <w:rFonts w:ascii="Arial" w:hAnsi="Arial"/>
                <w:sz w:val="18"/>
                <w:lang w:val="en-GB"/>
              </w:rPr>
              <w:t>lion</w:t>
            </w:r>
            <w:r w:rsidRPr="007F68CF">
              <w:rPr>
                <w:rFonts w:ascii="Arial" w:hAnsi="Arial"/>
                <w:sz w:val="18"/>
                <w:lang w:val="en-GB"/>
              </w:rPr>
              <w:t>]</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3,809.0</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3</w:t>
            </w:r>
            <w:r>
              <w:rPr>
                <w:rFonts w:ascii="Arial" w:hAnsi="Arial" w:cs="Arial"/>
                <w:sz w:val="18"/>
                <w:szCs w:val="18"/>
                <w:lang w:val="en-US"/>
              </w:rPr>
              <w:t>,</w:t>
            </w:r>
            <w:r w:rsidRPr="00B765CD">
              <w:rPr>
                <w:rFonts w:ascii="Arial" w:hAnsi="Arial" w:cs="Arial"/>
                <w:sz w:val="18"/>
                <w:szCs w:val="18"/>
                <w:lang w:val="en-US"/>
              </w:rPr>
              <w:t>701</w:t>
            </w:r>
            <w:r>
              <w:rPr>
                <w:rFonts w:ascii="Arial" w:hAnsi="Arial" w:cs="Arial"/>
                <w:sz w:val="18"/>
                <w:szCs w:val="18"/>
                <w:lang w:val="en-US"/>
              </w:rPr>
              <w:t>.</w:t>
            </w:r>
            <w:r w:rsidRPr="00B765CD">
              <w:rPr>
                <w:rFonts w:ascii="Arial" w:hAnsi="Arial" w:cs="Arial"/>
                <w:sz w:val="18"/>
                <w:szCs w:val="18"/>
                <w:lang w:val="en-US"/>
              </w:rPr>
              <w:t>5</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+2</w:t>
            </w:r>
            <w:r>
              <w:rPr>
                <w:rFonts w:ascii="Arial" w:hAnsi="Arial" w:cs="Arial"/>
                <w:sz w:val="18"/>
                <w:szCs w:val="18"/>
                <w:lang w:val="en-US"/>
              </w:rPr>
              <w:t>.</w:t>
            </w:r>
            <w:r w:rsidRPr="00B765CD">
              <w:rPr>
                <w:rFonts w:ascii="Arial" w:hAnsi="Arial" w:cs="Arial"/>
                <w:sz w:val="18"/>
                <w:szCs w:val="18"/>
                <w:lang w:val="en-US"/>
              </w:rPr>
              <w:t>9 %</w:t>
            </w:r>
          </w:p>
        </w:tc>
      </w:tr>
      <w:tr w:rsidR="00B765CD" w:rsidRPr="00B765CD" w:rsidTr="00B8338C">
        <w:trPr>
          <w:trHeight w:hRule="exact" w:val="284"/>
        </w:trPr>
        <w:tc>
          <w:tcPr>
            <w:tcW w:w="4077" w:type="dxa"/>
            <w:vAlign w:val="center"/>
          </w:tcPr>
          <w:p w:rsidR="00B765CD" w:rsidRPr="007F68CF" w:rsidRDefault="00B765CD" w:rsidP="00B8338C">
            <w:pPr>
              <w:tabs>
                <w:tab w:val="left" w:pos="8505"/>
              </w:tabs>
              <w:rPr>
                <w:lang w:val="en-GB"/>
              </w:rPr>
            </w:pPr>
            <w:r w:rsidRPr="007F68CF">
              <w:rPr>
                <w:rFonts w:ascii="Arial" w:hAnsi="Arial"/>
                <w:sz w:val="18"/>
                <w:lang w:val="en-GB"/>
              </w:rPr>
              <w:t xml:space="preserve">EBIT [€ </w:t>
            </w:r>
            <w:r>
              <w:rPr>
                <w:rFonts w:ascii="Arial" w:hAnsi="Arial"/>
                <w:sz w:val="18"/>
                <w:lang w:val="en-GB"/>
              </w:rPr>
              <w:t>million</w:t>
            </w:r>
            <w:r w:rsidRPr="007F68CF">
              <w:rPr>
                <w:rFonts w:ascii="Arial" w:hAnsi="Arial"/>
                <w:sz w:val="18"/>
                <w:lang w:val="en-GB"/>
              </w:rPr>
              <w:t>]</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235</w:t>
            </w:r>
            <w:r>
              <w:rPr>
                <w:rFonts w:ascii="Arial" w:hAnsi="Arial" w:cs="Arial"/>
                <w:sz w:val="18"/>
                <w:szCs w:val="18"/>
                <w:lang w:val="en-US"/>
              </w:rPr>
              <w:t>.</w:t>
            </w:r>
            <w:r w:rsidRPr="00B765CD">
              <w:rPr>
                <w:rFonts w:ascii="Arial" w:hAnsi="Arial" w:cs="Arial"/>
                <w:sz w:val="18"/>
                <w:szCs w:val="18"/>
                <w:lang w:val="en-US"/>
              </w:rPr>
              <w:t>8</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237</w:t>
            </w:r>
            <w:r>
              <w:rPr>
                <w:rFonts w:ascii="Arial" w:hAnsi="Arial" w:cs="Arial"/>
                <w:sz w:val="18"/>
                <w:szCs w:val="18"/>
                <w:lang w:val="en-US"/>
              </w:rPr>
              <w:t>.</w:t>
            </w:r>
            <w:r w:rsidRPr="00B765CD">
              <w:rPr>
                <w:rFonts w:ascii="Arial" w:hAnsi="Arial" w:cs="Arial"/>
                <w:sz w:val="18"/>
                <w:szCs w:val="18"/>
                <w:lang w:val="en-US"/>
              </w:rPr>
              <w:t>1</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Pr>
                <w:rFonts w:ascii="Arial" w:hAnsi="Arial" w:cs="Arial"/>
                <w:sz w:val="18"/>
                <w:szCs w:val="18"/>
                <w:lang w:val="en-US"/>
              </w:rPr>
              <w:t>(</w:t>
            </w:r>
            <w:r w:rsidRPr="00B765CD">
              <w:rPr>
                <w:rFonts w:ascii="Arial" w:hAnsi="Arial" w:cs="Arial"/>
                <w:sz w:val="18"/>
                <w:szCs w:val="18"/>
                <w:lang w:val="en-US"/>
              </w:rPr>
              <w:t>0</w:t>
            </w:r>
            <w:r>
              <w:rPr>
                <w:rFonts w:ascii="Arial" w:hAnsi="Arial" w:cs="Arial"/>
                <w:sz w:val="18"/>
                <w:szCs w:val="18"/>
                <w:lang w:val="en-US"/>
              </w:rPr>
              <w:t>.</w:t>
            </w:r>
            <w:r w:rsidRPr="00B765CD">
              <w:rPr>
                <w:rFonts w:ascii="Arial" w:hAnsi="Arial" w:cs="Arial"/>
                <w:sz w:val="18"/>
                <w:szCs w:val="18"/>
                <w:lang w:val="en-US"/>
              </w:rPr>
              <w:t>5</w:t>
            </w:r>
            <w:r>
              <w:rPr>
                <w:rFonts w:ascii="Arial" w:hAnsi="Arial" w:cs="Arial"/>
                <w:sz w:val="18"/>
                <w:szCs w:val="18"/>
                <w:lang w:val="en-US"/>
              </w:rPr>
              <w:t>)</w:t>
            </w:r>
            <w:r w:rsidRPr="00B765CD">
              <w:rPr>
                <w:rFonts w:ascii="Arial" w:hAnsi="Arial" w:cs="Arial"/>
                <w:sz w:val="18"/>
                <w:szCs w:val="18"/>
                <w:lang w:val="en-US"/>
              </w:rPr>
              <w:t xml:space="preserve"> %</w:t>
            </w:r>
          </w:p>
        </w:tc>
      </w:tr>
      <w:tr w:rsidR="00B765CD" w:rsidRPr="00B765CD" w:rsidTr="00B8338C">
        <w:trPr>
          <w:trHeight w:hRule="exact" w:val="284"/>
        </w:trPr>
        <w:tc>
          <w:tcPr>
            <w:tcW w:w="4077" w:type="dxa"/>
            <w:vAlign w:val="center"/>
          </w:tcPr>
          <w:p w:rsidR="00B765CD" w:rsidRPr="007F68CF" w:rsidRDefault="00B765CD" w:rsidP="00B8338C">
            <w:pPr>
              <w:tabs>
                <w:tab w:val="left" w:pos="8505"/>
              </w:tabs>
              <w:rPr>
                <w:lang w:val="en-GB"/>
              </w:rPr>
            </w:pPr>
            <w:r w:rsidRPr="007F68CF">
              <w:rPr>
                <w:rFonts w:ascii="Arial" w:hAnsi="Arial"/>
                <w:sz w:val="18"/>
                <w:lang w:val="en-GB"/>
              </w:rPr>
              <w:t xml:space="preserve">Adjusted EBIT * [€ </w:t>
            </w:r>
            <w:r>
              <w:rPr>
                <w:rFonts w:ascii="Arial" w:hAnsi="Arial"/>
                <w:sz w:val="18"/>
                <w:lang w:val="en-GB"/>
              </w:rPr>
              <w:t>million</w:t>
            </w:r>
            <w:r w:rsidRPr="007F68CF">
              <w:rPr>
                <w:rFonts w:ascii="Arial" w:hAnsi="Arial"/>
                <w:sz w:val="18"/>
                <w:lang w:val="en-GB"/>
              </w:rPr>
              <w:t>]</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225</w:t>
            </w:r>
            <w:r>
              <w:rPr>
                <w:rFonts w:ascii="Arial" w:hAnsi="Arial" w:cs="Arial"/>
                <w:sz w:val="18"/>
                <w:szCs w:val="18"/>
                <w:lang w:val="en-US"/>
              </w:rPr>
              <w:t>.</w:t>
            </w:r>
            <w:r w:rsidRPr="00B765CD">
              <w:rPr>
                <w:rFonts w:ascii="Arial" w:hAnsi="Arial" w:cs="Arial"/>
                <w:sz w:val="18"/>
                <w:szCs w:val="18"/>
                <w:lang w:val="en-US"/>
              </w:rPr>
              <w:t>4</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260</w:t>
            </w:r>
            <w:r>
              <w:rPr>
                <w:rFonts w:ascii="Arial" w:hAnsi="Arial" w:cs="Arial"/>
                <w:sz w:val="18"/>
                <w:szCs w:val="18"/>
                <w:lang w:val="en-US"/>
              </w:rPr>
              <w:t>.</w:t>
            </w:r>
            <w:r w:rsidRPr="00B765CD">
              <w:rPr>
                <w:rFonts w:ascii="Arial" w:hAnsi="Arial" w:cs="Arial"/>
                <w:sz w:val="18"/>
                <w:szCs w:val="18"/>
                <w:lang w:val="en-US"/>
              </w:rPr>
              <w:t>3</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Pr>
                <w:rFonts w:ascii="Arial" w:hAnsi="Arial" w:cs="Arial"/>
                <w:sz w:val="18"/>
                <w:szCs w:val="18"/>
                <w:lang w:val="en-US"/>
              </w:rPr>
              <w:t>(</w:t>
            </w:r>
            <w:r w:rsidRPr="00B765CD">
              <w:rPr>
                <w:rFonts w:ascii="Arial" w:hAnsi="Arial" w:cs="Arial"/>
                <w:sz w:val="18"/>
                <w:szCs w:val="18"/>
                <w:lang w:val="en-US"/>
              </w:rPr>
              <w:t>13</w:t>
            </w:r>
            <w:r>
              <w:rPr>
                <w:rFonts w:ascii="Arial" w:hAnsi="Arial" w:cs="Arial"/>
                <w:sz w:val="18"/>
                <w:szCs w:val="18"/>
                <w:lang w:val="en-US"/>
              </w:rPr>
              <w:t>.</w:t>
            </w:r>
            <w:r w:rsidRPr="00B765CD">
              <w:rPr>
                <w:rFonts w:ascii="Arial" w:hAnsi="Arial" w:cs="Arial"/>
                <w:sz w:val="18"/>
                <w:szCs w:val="18"/>
                <w:lang w:val="en-US"/>
              </w:rPr>
              <w:t>4</w:t>
            </w:r>
            <w:r>
              <w:rPr>
                <w:rFonts w:ascii="Arial" w:hAnsi="Arial" w:cs="Arial"/>
                <w:sz w:val="18"/>
                <w:szCs w:val="18"/>
                <w:lang w:val="en-US"/>
              </w:rPr>
              <w:t xml:space="preserve">) </w:t>
            </w:r>
            <w:r w:rsidRPr="00B765CD">
              <w:rPr>
                <w:rFonts w:ascii="Arial" w:hAnsi="Arial" w:cs="Arial"/>
                <w:sz w:val="18"/>
                <w:szCs w:val="18"/>
                <w:lang w:val="en-US"/>
              </w:rPr>
              <w:t>%</w:t>
            </w:r>
          </w:p>
        </w:tc>
      </w:tr>
      <w:tr w:rsidR="00B765CD" w:rsidRPr="00B765CD" w:rsidTr="00B8338C">
        <w:trPr>
          <w:trHeight w:hRule="exact" w:val="284"/>
        </w:trPr>
        <w:tc>
          <w:tcPr>
            <w:tcW w:w="4077" w:type="dxa"/>
            <w:vAlign w:val="center"/>
          </w:tcPr>
          <w:p w:rsidR="00B765CD" w:rsidRPr="007F68CF" w:rsidRDefault="00B765CD" w:rsidP="00B8338C">
            <w:pPr>
              <w:tabs>
                <w:tab w:val="left" w:pos="8505"/>
              </w:tabs>
              <w:rPr>
                <w:lang w:val="en-GB"/>
              </w:rPr>
            </w:pPr>
            <w:r w:rsidRPr="009E06E1">
              <w:rPr>
                <w:rFonts w:ascii="Arial" w:hAnsi="Arial"/>
                <w:sz w:val="18"/>
                <w:lang w:val="en-GB"/>
              </w:rPr>
              <w:t>EBIT margi</w:t>
            </w:r>
            <w:r>
              <w:rPr>
                <w:rFonts w:ascii="Arial" w:hAnsi="Arial"/>
                <w:sz w:val="18"/>
                <w:lang w:val="en-GB"/>
              </w:rPr>
              <w:t>n [%]</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6</w:t>
            </w:r>
            <w:r>
              <w:rPr>
                <w:rFonts w:ascii="Arial" w:hAnsi="Arial" w:cs="Arial"/>
                <w:sz w:val="18"/>
                <w:szCs w:val="18"/>
                <w:lang w:val="en-US"/>
              </w:rPr>
              <w:t>.</w:t>
            </w:r>
            <w:r w:rsidRPr="00B765CD">
              <w:rPr>
                <w:rFonts w:ascii="Arial" w:hAnsi="Arial" w:cs="Arial"/>
                <w:sz w:val="18"/>
                <w:szCs w:val="18"/>
                <w:lang w:val="en-US"/>
              </w:rPr>
              <w:t>2</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6</w:t>
            </w:r>
            <w:r>
              <w:rPr>
                <w:rFonts w:ascii="Arial" w:hAnsi="Arial" w:cs="Arial"/>
                <w:sz w:val="18"/>
                <w:szCs w:val="18"/>
                <w:lang w:val="en-US"/>
              </w:rPr>
              <w:t>.</w:t>
            </w:r>
            <w:r w:rsidRPr="00B765CD">
              <w:rPr>
                <w:rFonts w:ascii="Arial" w:hAnsi="Arial" w:cs="Arial"/>
                <w:sz w:val="18"/>
                <w:szCs w:val="18"/>
                <w:lang w:val="en-US"/>
              </w:rPr>
              <w:t>4</w:t>
            </w:r>
          </w:p>
        </w:tc>
        <w:tc>
          <w:tcPr>
            <w:tcW w:w="1276" w:type="dxa"/>
            <w:vAlign w:val="center"/>
          </w:tcPr>
          <w:p w:rsidR="00B765CD" w:rsidRPr="00B765CD" w:rsidRDefault="00B765CD" w:rsidP="00521D5E">
            <w:pPr>
              <w:tabs>
                <w:tab w:val="left" w:pos="8505"/>
              </w:tabs>
              <w:rPr>
                <w:rFonts w:ascii="Arial" w:hAnsi="Arial" w:cs="Arial"/>
                <w:sz w:val="18"/>
                <w:szCs w:val="18"/>
                <w:lang w:val="en-US"/>
              </w:rPr>
            </w:pPr>
            <w:r w:rsidRPr="00B765CD">
              <w:rPr>
                <w:rFonts w:ascii="Arial" w:hAnsi="Arial" w:cs="Arial"/>
                <w:sz w:val="18"/>
                <w:szCs w:val="18"/>
                <w:lang w:val="en-US"/>
              </w:rPr>
              <w:t>--</w:t>
            </w:r>
          </w:p>
        </w:tc>
      </w:tr>
      <w:tr w:rsidR="00B765CD" w:rsidRPr="00B765CD" w:rsidTr="00B8338C">
        <w:trPr>
          <w:trHeight w:hRule="exact" w:val="284"/>
        </w:trPr>
        <w:tc>
          <w:tcPr>
            <w:tcW w:w="4077" w:type="dxa"/>
            <w:vAlign w:val="center"/>
          </w:tcPr>
          <w:p w:rsidR="00B765CD" w:rsidRPr="007F68CF" w:rsidRDefault="00B765CD" w:rsidP="00B8338C">
            <w:pPr>
              <w:tabs>
                <w:tab w:val="left" w:pos="8505"/>
              </w:tabs>
              <w:rPr>
                <w:lang w:val="en-GB"/>
              </w:rPr>
            </w:pPr>
            <w:r w:rsidRPr="007F68CF">
              <w:rPr>
                <w:rFonts w:ascii="Arial" w:hAnsi="Arial"/>
                <w:sz w:val="18"/>
                <w:lang w:val="en-GB"/>
              </w:rPr>
              <w:t xml:space="preserve">Consolidated net income [€ </w:t>
            </w:r>
            <w:r>
              <w:rPr>
                <w:rFonts w:ascii="Arial" w:hAnsi="Arial"/>
                <w:sz w:val="18"/>
                <w:lang w:val="en-GB"/>
              </w:rPr>
              <w:t>million</w:t>
            </w:r>
            <w:r w:rsidRPr="007F68CF">
              <w:rPr>
                <w:rFonts w:ascii="Arial" w:hAnsi="Arial"/>
                <w:sz w:val="18"/>
                <w:lang w:val="en-GB"/>
              </w:rPr>
              <w:t>]</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156.0</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156</w:t>
            </w:r>
            <w:r>
              <w:rPr>
                <w:rFonts w:ascii="Arial" w:hAnsi="Arial" w:cs="Arial"/>
                <w:sz w:val="18"/>
                <w:szCs w:val="18"/>
                <w:lang w:val="en-US"/>
              </w:rPr>
              <w:t>.</w:t>
            </w:r>
            <w:r w:rsidRPr="00B765CD">
              <w:rPr>
                <w:rFonts w:ascii="Arial" w:hAnsi="Arial" w:cs="Arial"/>
                <w:sz w:val="18"/>
                <w:szCs w:val="18"/>
                <w:lang w:val="en-US"/>
              </w:rPr>
              <w:t>0</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0</w:t>
            </w:r>
            <w:r>
              <w:rPr>
                <w:rFonts w:ascii="Arial" w:hAnsi="Arial" w:cs="Arial"/>
                <w:sz w:val="18"/>
                <w:szCs w:val="18"/>
                <w:lang w:val="en-US"/>
              </w:rPr>
              <w:t>.</w:t>
            </w:r>
            <w:r w:rsidRPr="00B765CD">
              <w:rPr>
                <w:rFonts w:ascii="Arial" w:hAnsi="Arial" w:cs="Arial"/>
                <w:sz w:val="18"/>
                <w:szCs w:val="18"/>
                <w:lang w:val="en-US"/>
              </w:rPr>
              <w:t>0 %</w:t>
            </w:r>
          </w:p>
        </w:tc>
      </w:tr>
      <w:tr w:rsidR="00B765CD" w:rsidRPr="00B765CD" w:rsidTr="00B8338C">
        <w:trPr>
          <w:trHeight w:hRule="exact" w:val="284"/>
        </w:trPr>
        <w:tc>
          <w:tcPr>
            <w:tcW w:w="4077" w:type="dxa"/>
            <w:vAlign w:val="center"/>
          </w:tcPr>
          <w:p w:rsidR="00B765CD" w:rsidRPr="007F68CF" w:rsidRDefault="00B765CD" w:rsidP="00B765CD">
            <w:pPr>
              <w:tabs>
                <w:tab w:val="left" w:pos="8505"/>
              </w:tabs>
              <w:rPr>
                <w:lang w:val="en-GB"/>
              </w:rPr>
            </w:pPr>
            <w:r w:rsidRPr="0004329A">
              <w:rPr>
                <w:rFonts w:ascii="Arial" w:hAnsi="Arial" w:cs="Arial"/>
                <w:sz w:val="18"/>
                <w:szCs w:val="18"/>
                <w:lang w:val="en-US"/>
              </w:rPr>
              <w:t xml:space="preserve">Free </w:t>
            </w:r>
            <w:r>
              <w:rPr>
                <w:rFonts w:ascii="Arial" w:hAnsi="Arial" w:cs="Arial"/>
                <w:sz w:val="18"/>
                <w:szCs w:val="18"/>
                <w:lang w:val="en-US"/>
              </w:rPr>
              <w:t>c</w:t>
            </w:r>
            <w:r w:rsidRPr="0004329A">
              <w:rPr>
                <w:rFonts w:ascii="Arial" w:hAnsi="Arial" w:cs="Arial"/>
                <w:sz w:val="18"/>
                <w:szCs w:val="18"/>
                <w:lang w:val="en-US"/>
              </w:rPr>
              <w:t>ash</w:t>
            </w:r>
            <w:r>
              <w:rPr>
                <w:rFonts w:ascii="Arial" w:hAnsi="Arial" w:cs="Arial"/>
                <w:sz w:val="18"/>
                <w:szCs w:val="18"/>
                <w:lang w:val="en-US"/>
              </w:rPr>
              <w:t xml:space="preserve"> </w:t>
            </w:r>
            <w:r w:rsidRPr="0004329A">
              <w:rPr>
                <w:rFonts w:ascii="Arial" w:hAnsi="Arial" w:cs="Arial"/>
                <w:sz w:val="18"/>
                <w:szCs w:val="18"/>
                <w:lang w:val="en-US"/>
              </w:rPr>
              <w:t xml:space="preserve">flow ** [€ </w:t>
            </w:r>
            <w:r>
              <w:rPr>
                <w:rFonts w:ascii="Arial" w:hAnsi="Arial" w:cs="Arial"/>
                <w:sz w:val="18"/>
                <w:szCs w:val="18"/>
                <w:lang w:val="en-US"/>
              </w:rPr>
              <w:t>million</w:t>
            </w:r>
            <w:r w:rsidRPr="0004329A">
              <w:rPr>
                <w:rFonts w:ascii="Arial" w:hAnsi="Arial" w:cs="Arial"/>
                <w:sz w:val="18"/>
                <w:szCs w:val="18"/>
                <w:lang w:val="en-US"/>
              </w:rPr>
              <w:t>]</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63</w:t>
            </w:r>
            <w:r>
              <w:rPr>
                <w:rFonts w:ascii="Arial" w:hAnsi="Arial" w:cs="Arial"/>
                <w:sz w:val="18"/>
                <w:szCs w:val="18"/>
                <w:lang w:val="en-US"/>
              </w:rPr>
              <w:t>.</w:t>
            </w:r>
            <w:r w:rsidRPr="00B765CD">
              <w:rPr>
                <w:rFonts w:ascii="Arial" w:hAnsi="Arial" w:cs="Arial"/>
                <w:sz w:val="18"/>
                <w:szCs w:val="18"/>
                <w:lang w:val="en-US"/>
              </w:rPr>
              <w:t>5</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121</w:t>
            </w:r>
            <w:r>
              <w:rPr>
                <w:rFonts w:ascii="Arial" w:hAnsi="Arial" w:cs="Arial"/>
                <w:sz w:val="18"/>
                <w:szCs w:val="18"/>
                <w:lang w:val="en-US"/>
              </w:rPr>
              <w:t>.</w:t>
            </w:r>
            <w:r w:rsidRPr="00B765CD">
              <w:rPr>
                <w:rFonts w:ascii="Arial" w:hAnsi="Arial" w:cs="Arial"/>
                <w:sz w:val="18"/>
                <w:szCs w:val="18"/>
                <w:lang w:val="en-US"/>
              </w:rPr>
              <w:t>2</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Pr>
                <w:rFonts w:ascii="Arial" w:hAnsi="Arial" w:cs="Arial"/>
                <w:sz w:val="18"/>
                <w:szCs w:val="18"/>
                <w:lang w:val="en-US"/>
              </w:rPr>
              <w:t>(</w:t>
            </w:r>
            <w:r w:rsidRPr="00B765CD">
              <w:rPr>
                <w:rFonts w:ascii="Arial" w:hAnsi="Arial" w:cs="Arial"/>
                <w:sz w:val="18"/>
                <w:szCs w:val="18"/>
                <w:lang w:val="en-US"/>
              </w:rPr>
              <w:t>47</w:t>
            </w:r>
            <w:r>
              <w:rPr>
                <w:rFonts w:ascii="Arial" w:hAnsi="Arial" w:cs="Arial"/>
                <w:sz w:val="18"/>
                <w:szCs w:val="18"/>
                <w:lang w:val="en-US"/>
              </w:rPr>
              <w:t>.</w:t>
            </w:r>
            <w:r w:rsidRPr="00B765CD">
              <w:rPr>
                <w:rFonts w:ascii="Arial" w:hAnsi="Arial" w:cs="Arial"/>
                <w:sz w:val="18"/>
                <w:szCs w:val="18"/>
                <w:lang w:val="en-US"/>
              </w:rPr>
              <w:t>6</w:t>
            </w:r>
            <w:r>
              <w:rPr>
                <w:rFonts w:ascii="Arial" w:hAnsi="Arial" w:cs="Arial"/>
                <w:sz w:val="18"/>
                <w:szCs w:val="18"/>
                <w:lang w:val="en-US"/>
              </w:rPr>
              <w:t>)</w:t>
            </w:r>
            <w:r w:rsidRPr="00B765CD">
              <w:rPr>
                <w:rFonts w:ascii="Arial" w:hAnsi="Arial" w:cs="Arial"/>
                <w:sz w:val="18"/>
                <w:szCs w:val="18"/>
                <w:lang w:val="en-US"/>
              </w:rPr>
              <w:t xml:space="preserve"> %</w:t>
            </w:r>
          </w:p>
        </w:tc>
      </w:tr>
      <w:tr w:rsidR="00B765CD" w:rsidRPr="00B765CD" w:rsidTr="00B8338C">
        <w:trPr>
          <w:trHeight w:hRule="exact" w:val="284"/>
        </w:trPr>
        <w:tc>
          <w:tcPr>
            <w:tcW w:w="4077" w:type="dxa"/>
            <w:vAlign w:val="center"/>
          </w:tcPr>
          <w:p w:rsidR="00B765CD" w:rsidRPr="0004329A" w:rsidRDefault="00B765CD" w:rsidP="00B8338C">
            <w:pPr>
              <w:tabs>
                <w:tab w:val="left" w:pos="8505"/>
              </w:tabs>
              <w:rPr>
                <w:lang w:val="en-US"/>
              </w:rPr>
            </w:pPr>
            <w:r>
              <w:rPr>
                <w:rFonts w:ascii="Arial" w:hAnsi="Arial"/>
                <w:sz w:val="18"/>
                <w:lang w:val="en-US"/>
              </w:rPr>
              <w:t>Return on capital employed</w:t>
            </w:r>
            <w:r w:rsidRPr="0004329A">
              <w:rPr>
                <w:rFonts w:ascii="Arial" w:hAnsi="Arial"/>
                <w:sz w:val="18"/>
                <w:lang w:val="en-US"/>
              </w:rPr>
              <w:t xml:space="preserve"> [</w:t>
            </w:r>
            <w:r>
              <w:rPr>
                <w:rFonts w:ascii="Arial" w:hAnsi="Arial"/>
                <w:sz w:val="18"/>
                <w:lang w:val="en-US"/>
              </w:rPr>
              <w:t>%</w:t>
            </w:r>
            <w:r w:rsidRPr="0004329A">
              <w:rPr>
                <w:rFonts w:ascii="Arial" w:hAnsi="Arial"/>
                <w:sz w:val="18"/>
                <w:lang w:val="en-US"/>
              </w:rPr>
              <w:t>]</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20</w:t>
            </w:r>
            <w:r>
              <w:rPr>
                <w:rFonts w:ascii="Arial" w:hAnsi="Arial" w:cs="Arial"/>
                <w:sz w:val="18"/>
                <w:szCs w:val="18"/>
                <w:lang w:val="en-US"/>
              </w:rPr>
              <w:t>.</w:t>
            </w:r>
            <w:r w:rsidRPr="00B765CD">
              <w:rPr>
                <w:rFonts w:ascii="Arial" w:hAnsi="Arial" w:cs="Arial"/>
                <w:sz w:val="18"/>
                <w:szCs w:val="18"/>
                <w:lang w:val="en-US"/>
              </w:rPr>
              <w:t>8</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24</w:t>
            </w:r>
            <w:r>
              <w:rPr>
                <w:rFonts w:ascii="Arial" w:hAnsi="Arial" w:cs="Arial"/>
                <w:sz w:val="18"/>
                <w:szCs w:val="18"/>
                <w:lang w:val="en-US"/>
              </w:rPr>
              <w:t>.</w:t>
            </w:r>
            <w:r w:rsidRPr="00B765CD">
              <w:rPr>
                <w:rFonts w:ascii="Arial" w:hAnsi="Arial" w:cs="Arial"/>
                <w:sz w:val="18"/>
                <w:szCs w:val="18"/>
                <w:lang w:val="en-US"/>
              </w:rPr>
              <w:t>0</w:t>
            </w:r>
          </w:p>
        </w:tc>
        <w:tc>
          <w:tcPr>
            <w:tcW w:w="1276" w:type="dxa"/>
            <w:vAlign w:val="center"/>
          </w:tcPr>
          <w:p w:rsidR="00B765CD" w:rsidRPr="00B765CD" w:rsidRDefault="00B765CD" w:rsidP="00521D5E">
            <w:pPr>
              <w:tabs>
                <w:tab w:val="left" w:pos="8505"/>
              </w:tabs>
              <w:rPr>
                <w:rFonts w:ascii="Arial" w:hAnsi="Arial" w:cs="Arial"/>
                <w:sz w:val="18"/>
                <w:szCs w:val="18"/>
                <w:lang w:val="en-US"/>
              </w:rPr>
            </w:pPr>
            <w:r w:rsidRPr="00B765CD">
              <w:rPr>
                <w:rFonts w:ascii="Arial" w:hAnsi="Arial" w:cs="Arial"/>
                <w:sz w:val="18"/>
                <w:szCs w:val="18"/>
                <w:lang w:val="en-US"/>
              </w:rPr>
              <w:t>--</w:t>
            </w:r>
          </w:p>
        </w:tc>
      </w:tr>
      <w:tr w:rsidR="00B765CD" w:rsidRPr="00B765CD" w:rsidTr="00B8338C">
        <w:trPr>
          <w:trHeight w:hRule="exact" w:val="507"/>
        </w:trPr>
        <w:tc>
          <w:tcPr>
            <w:tcW w:w="4077" w:type="dxa"/>
            <w:vAlign w:val="center"/>
          </w:tcPr>
          <w:p w:rsidR="00B765CD" w:rsidRPr="00B8338C" w:rsidRDefault="00B765CD" w:rsidP="00B8338C">
            <w:pPr>
              <w:tabs>
                <w:tab w:val="left" w:pos="8505"/>
              </w:tabs>
              <w:rPr>
                <w:rFonts w:ascii="Arial" w:hAnsi="Arial"/>
                <w:sz w:val="18"/>
                <w:lang w:val="en-GB"/>
              </w:rPr>
            </w:pPr>
            <w:r w:rsidRPr="00B8338C">
              <w:rPr>
                <w:rFonts w:ascii="Arial" w:hAnsi="Arial"/>
                <w:sz w:val="18"/>
                <w:lang w:val="en-GB"/>
              </w:rPr>
              <w:t xml:space="preserve">Capital expenditure on property, plant and equipment as well as intangible assets </w:t>
            </w:r>
            <w:r w:rsidRPr="007F68CF">
              <w:rPr>
                <w:rFonts w:ascii="Arial" w:hAnsi="Arial"/>
                <w:sz w:val="18"/>
                <w:lang w:val="en-GB"/>
              </w:rPr>
              <w:t>[</w:t>
            </w:r>
            <w:r>
              <w:rPr>
                <w:rFonts w:ascii="Arial" w:hAnsi="Arial"/>
                <w:sz w:val="18"/>
                <w:lang w:val="en-GB"/>
              </w:rPr>
              <w:t>€ million</w:t>
            </w:r>
            <w:r w:rsidRPr="007F68CF">
              <w:rPr>
                <w:rFonts w:ascii="Arial" w:hAnsi="Arial"/>
                <w:sz w:val="18"/>
                <w:lang w:val="en-GB"/>
              </w:rPr>
              <w:t>]</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154.2</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137</w:t>
            </w:r>
            <w:r>
              <w:rPr>
                <w:rFonts w:ascii="Arial" w:hAnsi="Arial" w:cs="Arial"/>
                <w:sz w:val="18"/>
                <w:szCs w:val="18"/>
                <w:lang w:val="en-US"/>
              </w:rPr>
              <w:t>.</w:t>
            </w:r>
            <w:r w:rsidRPr="00B765CD">
              <w:rPr>
                <w:rFonts w:ascii="Arial" w:hAnsi="Arial" w:cs="Arial"/>
                <w:sz w:val="18"/>
                <w:szCs w:val="18"/>
                <w:lang w:val="en-US"/>
              </w:rPr>
              <w:t>4</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+12</w:t>
            </w:r>
            <w:r>
              <w:rPr>
                <w:rFonts w:ascii="Arial" w:hAnsi="Arial" w:cs="Arial"/>
                <w:sz w:val="18"/>
                <w:szCs w:val="18"/>
                <w:lang w:val="en-US"/>
              </w:rPr>
              <w:t>.</w:t>
            </w:r>
            <w:r w:rsidRPr="00B765CD">
              <w:rPr>
                <w:rFonts w:ascii="Arial" w:hAnsi="Arial" w:cs="Arial"/>
                <w:sz w:val="18"/>
                <w:szCs w:val="18"/>
                <w:lang w:val="en-US"/>
              </w:rPr>
              <w:t>2</w:t>
            </w:r>
            <w:r>
              <w:rPr>
                <w:rFonts w:ascii="Arial" w:hAnsi="Arial" w:cs="Arial"/>
                <w:sz w:val="18"/>
                <w:szCs w:val="18"/>
                <w:lang w:val="en-US"/>
              </w:rPr>
              <w:t xml:space="preserve"> %</w:t>
            </w:r>
          </w:p>
        </w:tc>
      </w:tr>
      <w:tr w:rsidR="00B765CD" w:rsidRPr="00B765CD" w:rsidTr="00B8338C">
        <w:trPr>
          <w:trHeight w:hRule="exact" w:val="284"/>
        </w:trPr>
        <w:tc>
          <w:tcPr>
            <w:tcW w:w="4077" w:type="dxa"/>
            <w:vAlign w:val="center"/>
          </w:tcPr>
          <w:p w:rsidR="00B765CD" w:rsidRPr="0004329A" w:rsidRDefault="00B765CD" w:rsidP="00492E67">
            <w:pPr>
              <w:tabs>
                <w:tab w:val="left" w:pos="8505"/>
              </w:tabs>
              <w:rPr>
                <w:rFonts w:ascii="Arial" w:hAnsi="Arial"/>
                <w:sz w:val="18"/>
                <w:lang w:val="en-GB"/>
              </w:rPr>
            </w:pPr>
            <w:r w:rsidRPr="0004329A">
              <w:rPr>
                <w:rFonts w:ascii="Arial" w:hAnsi="Arial"/>
                <w:sz w:val="18"/>
                <w:lang w:val="en-GB"/>
              </w:rPr>
              <w:t>Acquisitions and financial investments</w:t>
            </w:r>
            <w:r w:rsidRPr="00B8338C">
              <w:rPr>
                <w:rFonts w:ascii="Arial" w:hAnsi="Arial"/>
                <w:sz w:val="18"/>
                <w:lang w:val="en-GB"/>
              </w:rPr>
              <w:t xml:space="preserve"> </w:t>
            </w:r>
            <w:r w:rsidRPr="007F68CF">
              <w:rPr>
                <w:rFonts w:ascii="Arial" w:hAnsi="Arial"/>
                <w:sz w:val="18"/>
                <w:lang w:val="en-GB"/>
              </w:rPr>
              <w:t>[</w:t>
            </w:r>
            <w:r>
              <w:rPr>
                <w:rFonts w:ascii="Arial" w:hAnsi="Arial"/>
                <w:sz w:val="18"/>
                <w:lang w:val="en-GB"/>
              </w:rPr>
              <w:t>€ million</w:t>
            </w:r>
            <w:r w:rsidRPr="007F68CF">
              <w:rPr>
                <w:rFonts w:ascii="Arial" w:hAnsi="Arial"/>
                <w:sz w:val="18"/>
                <w:lang w:val="en-GB"/>
              </w:rPr>
              <w:t>]</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26</w:t>
            </w:r>
            <w:r>
              <w:rPr>
                <w:rFonts w:ascii="Arial" w:hAnsi="Arial" w:cs="Arial"/>
                <w:sz w:val="18"/>
                <w:szCs w:val="18"/>
                <w:lang w:val="en-US"/>
              </w:rPr>
              <w:t>.</w:t>
            </w:r>
            <w:r w:rsidRPr="00B765CD">
              <w:rPr>
                <w:rFonts w:ascii="Arial" w:hAnsi="Arial" w:cs="Arial"/>
                <w:sz w:val="18"/>
                <w:szCs w:val="18"/>
                <w:lang w:val="en-US"/>
              </w:rPr>
              <w:t>7</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2</w:t>
            </w:r>
            <w:r>
              <w:rPr>
                <w:rFonts w:ascii="Arial" w:hAnsi="Arial" w:cs="Arial"/>
                <w:sz w:val="18"/>
                <w:szCs w:val="18"/>
                <w:lang w:val="en-US"/>
              </w:rPr>
              <w:t>.</w:t>
            </w:r>
            <w:r w:rsidRPr="00B765CD">
              <w:rPr>
                <w:rFonts w:ascii="Arial" w:hAnsi="Arial" w:cs="Arial"/>
                <w:sz w:val="18"/>
                <w:szCs w:val="18"/>
                <w:lang w:val="en-US"/>
              </w:rPr>
              <w:t>7</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+888</w:t>
            </w:r>
            <w:r>
              <w:rPr>
                <w:rFonts w:ascii="Arial" w:hAnsi="Arial" w:cs="Arial"/>
                <w:sz w:val="18"/>
                <w:szCs w:val="18"/>
                <w:lang w:val="en-US"/>
              </w:rPr>
              <w:t>.</w:t>
            </w:r>
            <w:r w:rsidRPr="00B765CD">
              <w:rPr>
                <w:rFonts w:ascii="Arial" w:hAnsi="Arial" w:cs="Arial"/>
                <w:sz w:val="18"/>
                <w:szCs w:val="18"/>
                <w:lang w:val="en-US"/>
              </w:rPr>
              <w:t>9 %</w:t>
            </w:r>
          </w:p>
        </w:tc>
      </w:tr>
      <w:tr w:rsidR="00B765CD" w:rsidRPr="00B765CD" w:rsidTr="00B8338C">
        <w:trPr>
          <w:trHeight w:hRule="exact" w:val="284"/>
        </w:trPr>
        <w:tc>
          <w:tcPr>
            <w:tcW w:w="4077" w:type="dxa"/>
            <w:vAlign w:val="center"/>
          </w:tcPr>
          <w:p w:rsidR="00B765CD" w:rsidRPr="0004329A" w:rsidRDefault="00B765CD" w:rsidP="00B8338C">
            <w:pPr>
              <w:tabs>
                <w:tab w:val="left" w:pos="8505"/>
              </w:tabs>
              <w:rPr>
                <w:rFonts w:ascii="Arial" w:hAnsi="Arial"/>
                <w:sz w:val="18"/>
                <w:lang w:val="en-GB"/>
              </w:rPr>
            </w:pPr>
            <w:r w:rsidRPr="0004329A">
              <w:rPr>
                <w:rFonts w:ascii="Arial" w:hAnsi="Arial"/>
                <w:sz w:val="18"/>
                <w:lang w:val="en-GB"/>
              </w:rPr>
              <w:t>Employees (as at 31 Dec.)</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59</w:t>
            </w:r>
            <w:r>
              <w:rPr>
                <w:rFonts w:ascii="Arial" w:hAnsi="Arial" w:cs="Arial"/>
                <w:sz w:val="18"/>
                <w:szCs w:val="18"/>
                <w:lang w:val="en-US"/>
              </w:rPr>
              <w:t>,</w:t>
            </w:r>
            <w:r w:rsidRPr="00B765CD">
              <w:rPr>
                <w:rFonts w:ascii="Arial" w:hAnsi="Arial" w:cs="Arial"/>
                <w:sz w:val="18"/>
                <w:szCs w:val="18"/>
                <w:lang w:val="en-US"/>
              </w:rPr>
              <w:t>393</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sidRPr="00B765CD">
              <w:rPr>
                <w:rFonts w:ascii="Arial" w:hAnsi="Arial" w:cs="Arial"/>
                <w:sz w:val="18"/>
                <w:szCs w:val="18"/>
                <w:lang w:val="en-US"/>
              </w:rPr>
              <w:t>60</w:t>
            </w:r>
            <w:r>
              <w:rPr>
                <w:rFonts w:ascii="Arial" w:hAnsi="Arial" w:cs="Arial"/>
                <w:sz w:val="18"/>
                <w:szCs w:val="18"/>
                <w:lang w:val="en-US"/>
              </w:rPr>
              <w:t>,</w:t>
            </w:r>
            <w:r w:rsidRPr="00B765CD">
              <w:rPr>
                <w:rFonts w:ascii="Arial" w:hAnsi="Arial" w:cs="Arial"/>
                <w:sz w:val="18"/>
                <w:szCs w:val="18"/>
                <w:lang w:val="en-US"/>
              </w:rPr>
              <w:t>745</w:t>
            </w:r>
          </w:p>
        </w:tc>
        <w:tc>
          <w:tcPr>
            <w:tcW w:w="1276" w:type="dxa"/>
            <w:vAlign w:val="center"/>
          </w:tcPr>
          <w:p w:rsidR="00B765CD" w:rsidRPr="00B765CD" w:rsidRDefault="00B765CD" w:rsidP="00B765CD">
            <w:pPr>
              <w:tabs>
                <w:tab w:val="left" w:pos="8505"/>
              </w:tabs>
              <w:rPr>
                <w:rFonts w:ascii="Arial" w:hAnsi="Arial" w:cs="Arial"/>
                <w:sz w:val="18"/>
                <w:szCs w:val="18"/>
                <w:lang w:val="en-US"/>
              </w:rPr>
            </w:pPr>
            <w:r>
              <w:rPr>
                <w:rFonts w:ascii="Arial" w:hAnsi="Arial" w:cs="Arial"/>
                <w:sz w:val="18"/>
                <w:szCs w:val="18"/>
                <w:lang w:val="en-US"/>
              </w:rPr>
              <w:t>(</w:t>
            </w:r>
            <w:r w:rsidRPr="00B765CD">
              <w:rPr>
                <w:rFonts w:ascii="Arial" w:hAnsi="Arial" w:cs="Arial"/>
                <w:sz w:val="18"/>
                <w:szCs w:val="18"/>
                <w:lang w:val="en-US"/>
              </w:rPr>
              <w:t>2</w:t>
            </w:r>
            <w:r>
              <w:rPr>
                <w:rFonts w:ascii="Arial" w:hAnsi="Arial" w:cs="Arial"/>
                <w:sz w:val="18"/>
                <w:szCs w:val="18"/>
                <w:lang w:val="en-US"/>
              </w:rPr>
              <w:t>.</w:t>
            </w:r>
            <w:r w:rsidRPr="00B765CD">
              <w:rPr>
                <w:rFonts w:ascii="Arial" w:hAnsi="Arial" w:cs="Arial"/>
                <w:sz w:val="18"/>
                <w:szCs w:val="18"/>
                <w:lang w:val="en-US"/>
              </w:rPr>
              <w:t>2</w:t>
            </w:r>
            <w:r>
              <w:rPr>
                <w:rFonts w:ascii="Arial" w:hAnsi="Arial" w:cs="Arial"/>
                <w:sz w:val="18"/>
                <w:szCs w:val="18"/>
                <w:lang w:val="en-US"/>
              </w:rPr>
              <w:t>)</w:t>
            </w:r>
            <w:r w:rsidRPr="00B765CD">
              <w:rPr>
                <w:rFonts w:ascii="Arial" w:hAnsi="Arial" w:cs="Arial"/>
                <w:sz w:val="18"/>
                <w:szCs w:val="18"/>
                <w:lang w:val="en-US"/>
              </w:rPr>
              <w:t xml:space="preserve"> %</w:t>
            </w:r>
          </w:p>
        </w:tc>
      </w:tr>
    </w:tbl>
    <w:p w:rsidR="008F37D5" w:rsidRPr="0004329A" w:rsidRDefault="0004329A" w:rsidP="00596E8B">
      <w:pPr>
        <w:autoSpaceDE w:val="0"/>
        <w:autoSpaceDN w:val="0"/>
        <w:adjustRightInd w:val="0"/>
        <w:ind w:right="1852"/>
        <w:rPr>
          <w:rFonts w:ascii="Arial" w:hAnsi="Arial"/>
          <w:i/>
          <w:sz w:val="16"/>
          <w:lang w:val="en-GB"/>
        </w:rPr>
      </w:pPr>
      <w:r>
        <w:rPr>
          <w:rFonts w:ascii="Arial" w:hAnsi="Arial" w:cs="Arial"/>
          <w:i/>
          <w:sz w:val="16"/>
          <w:szCs w:val="16"/>
          <w:lang w:val="en-GB"/>
        </w:rPr>
        <w:br/>
      </w:r>
      <w:r w:rsidR="00E26F48" w:rsidRPr="008218D9">
        <w:rPr>
          <w:rFonts w:ascii="Arial" w:hAnsi="Arial" w:cs="Arial"/>
          <w:i/>
          <w:sz w:val="16"/>
          <w:szCs w:val="16"/>
          <w:lang w:val="en-GB"/>
        </w:rPr>
        <w:t>*</w:t>
      </w:r>
      <w:r w:rsidR="00A94085">
        <w:rPr>
          <w:rFonts w:ascii="Arial" w:hAnsi="Arial" w:cs="Arial"/>
          <w:i/>
          <w:sz w:val="16"/>
          <w:szCs w:val="16"/>
          <w:lang w:val="en-GB"/>
        </w:rPr>
        <w:t xml:space="preserve"> </w:t>
      </w:r>
      <w:r w:rsidR="00A94085" w:rsidRPr="00A94085">
        <w:rPr>
          <w:rFonts w:ascii="Arial" w:hAnsi="Arial"/>
          <w:i/>
          <w:sz w:val="16"/>
          <w:lang w:val="en-GB"/>
        </w:rPr>
        <w:t>Earnings adjusted for the impact of revaluation as part of allocating the prices of the major acquisitions, restructuring, impairment of non-current assets,</w:t>
      </w:r>
      <w:r w:rsidR="00A94085">
        <w:rPr>
          <w:rFonts w:ascii="Arial" w:hAnsi="Arial"/>
          <w:i/>
          <w:sz w:val="16"/>
          <w:lang w:val="en-GB"/>
        </w:rPr>
        <w:t xml:space="preserve"> </w:t>
      </w:r>
      <w:r w:rsidR="00A94085" w:rsidRPr="00A94085">
        <w:rPr>
          <w:rFonts w:ascii="Arial" w:hAnsi="Arial"/>
          <w:i/>
          <w:sz w:val="16"/>
          <w:lang w:val="en-GB"/>
        </w:rPr>
        <w:t>capital gains on the disposal of businesses and income from business combinations including related derivatives</w:t>
      </w:r>
      <w:r w:rsidR="00B765CD">
        <w:rPr>
          <w:rFonts w:ascii="Arial" w:hAnsi="Arial"/>
          <w:i/>
          <w:sz w:val="16"/>
          <w:lang w:val="en-GB"/>
        </w:rPr>
        <w:br/>
      </w:r>
      <w:r w:rsidR="00E26F48" w:rsidRPr="00ED2600">
        <w:rPr>
          <w:rFonts w:ascii="Arial" w:hAnsi="Arial" w:cs="Arial"/>
          <w:i/>
          <w:sz w:val="16"/>
          <w:szCs w:val="16"/>
          <w:lang w:val="en-GB"/>
        </w:rPr>
        <w:t xml:space="preserve">** </w:t>
      </w:r>
      <w:r w:rsidRPr="0004329A">
        <w:rPr>
          <w:rFonts w:ascii="Arial" w:hAnsi="Arial"/>
          <w:i/>
          <w:sz w:val="16"/>
          <w:lang w:val="en-GB"/>
        </w:rPr>
        <w:t>before acquisitions</w:t>
      </w:r>
      <w:r w:rsidR="00A94085">
        <w:rPr>
          <w:rFonts w:ascii="Arial" w:hAnsi="Arial"/>
          <w:i/>
          <w:sz w:val="16"/>
          <w:lang w:val="en-GB"/>
        </w:rPr>
        <w:t xml:space="preserve"> and divestments</w:t>
      </w:r>
    </w:p>
    <w:p w:rsidR="0098775F" w:rsidRDefault="0098775F" w:rsidP="00596E8B">
      <w:pPr>
        <w:spacing w:before="240" w:line="240" w:lineRule="auto"/>
        <w:ind w:right="1852"/>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9D4512" w:rsidRPr="00D92309">
        <w:rPr>
          <w:rFonts w:ascii="Arial" w:hAnsi="Arial"/>
          <w:i/>
          <w:sz w:val="21"/>
          <w:lang w:val="en-GB"/>
        </w:rPr>
        <w:t>Related 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and further information </w:t>
      </w:r>
      <w:r w:rsidR="00AC5497" w:rsidRPr="00C85271">
        <w:rPr>
          <w:rFonts w:ascii="Arial" w:hAnsi="Arial"/>
          <w:i/>
          <w:sz w:val="21"/>
          <w:lang w:val="en-GB"/>
        </w:rPr>
        <w:t xml:space="preserve">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w:t>
      </w:r>
      <w:r w:rsidR="00AC5497" w:rsidRPr="00C85271">
        <w:rPr>
          <w:rFonts w:ascii="Arial" w:hAnsi="Arial"/>
          <w:i/>
          <w:sz w:val="21"/>
          <w:lang w:val="en-GB"/>
        </w:rPr>
        <w:t xml:space="preserve">next to </w:t>
      </w:r>
      <w:r w:rsidRPr="00C85271">
        <w:rPr>
          <w:rFonts w:ascii="Arial" w:hAnsi="Arial"/>
          <w:i/>
          <w:sz w:val="21"/>
          <w:lang w:val="en-GB"/>
        </w:rPr>
        <w:t xml:space="preserve">this release </w:t>
      </w:r>
      <w:r w:rsidR="00E26F48">
        <w:rPr>
          <w:rFonts w:ascii="Arial" w:hAnsi="Arial"/>
          <w:i/>
          <w:sz w:val="21"/>
          <w:lang w:val="en-GB"/>
        </w:rPr>
        <w:br/>
      </w:r>
      <w:r w:rsidR="00E26F48" w:rsidRPr="002C049D">
        <w:rPr>
          <w:rFonts w:ascii="Arial" w:hAnsi="Arial"/>
          <w:sz w:val="36"/>
          <w:szCs w:val="36"/>
          <w:lang w:val="en-GB"/>
        </w:rPr>
        <w:sym w:font="Wingdings" w:char="F046"/>
      </w:r>
      <w:r w:rsidR="00E26F48" w:rsidRPr="002C049D">
        <w:rPr>
          <w:rFonts w:ascii="Arial" w:hAnsi="Arial"/>
          <w:i/>
          <w:sz w:val="20"/>
          <w:lang w:val="en-GB"/>
        </w:rPr>
        <w:t xml:space="preserve"> </w:t>
      </w:r>
      <w:r w:rsidR="00E26F48" w:rsidRPr="002C049D">
        <w:rPr>
          <w:rFonts w:ascii="Arial" w:hAnsi="Arial"/>
          <w:i/>
          <w:sz w:val="21"/>
          <w:lang w:val="en-GB"/>
        </w:rPr>
        <w:t xml:space="preserve">The complete </w:t>
      </w:r>
      <w:r w:rsidR="00B8338C">
        <w:rPr>
          <w:rFonts w:ascii="Arial" w:hAnsi="Arial"/>
          <w:i/>
          <w:sz w:val="21"/>
          <w:lang w:val="en-GB"/>
        </w:rPr>
        <w:t xml:space="preserve">annual </w:t>
      </w:r>
      <w:r w:rsidR="00E26F48" w:rsidRPr="002C049D">
        <w:rPr>
          <w:rFonts w:ascii="Arial" w:hAnsi="Arial"/>
          <w:i/>
          <w:sz w:val="21"/>
          <w:lang w:val="en-GB"/>
        </w:rPr>
        <w:t>report can be downloaded from</w:t>
      </w:r>
      <w:r w:rsidR="00B8338C">
        <w:rPr>
          <w:rFonts w:ascii="Arial" w:hAnsi="Arial"/>
          <w:i/>
          <w:sz w:val="21"/>
          <w:lang w:val="en-GB"/>
        </w:rPr>
        <w:t xml:space="preserve"> </w:t>
      </w:r>
      <w:hyperlink r:id="rId9" w:history="1">
        <w:r w:rsidR="00B765CD" w:rsidRPr="00E23A89">
          <w:rPr>
            <w:rStyle w:val="Hyperlink"/>
            <w:rFonts w:ascii="Arial" w:hAnsi="Arial" w:cs="Arial"/>
            <w:i/>
            <w:sz w:val="21"/>
            <w:szCs w:val="21"/>
            <w:lang w:val="en-US"/>
          </w:rPr>
          <w:t>www.leoni.com/?gb12&amp;L=1</w:t>
        </w:r>
      </w:hyperlink>
    </w:p>
    <w:p w:rsidR="0098775F" w:rsidRPr="00C85271" w:rsidRDefault="0098775F">
      <w:pPr>
        <w:pStyle w:val="MMKurzprofilberschrift"/>
        <w:rPr>
          <w:rFonts w:cs="Times New Roman"/>
          <w:szCs w:val="24"/>
          <w:lang w:val="en-GB"/>
        </w:rPr>
      </w:pPr>
      <w:r w:rsidRPr="00C85271">
        <w:rPr>
          <w:rFonts w:cs="Times New Roman"/>
          <w:szCs w:val="24"/>
          <w:lang w:val="en-GB"/>
        </w:rPr>
        <w:t>About the Leoni Group</w:t>
      </w:r>
    </w:p>
    <w:p w:rsidR="004044A6" w:rsidRDefault="00AC5497" w:rsidP="004044A6">
      <w:pPr>
        <w:pStyle w:val="MMKurzprofil"/>
        <w:rPr>
          <w:lang w:val="en-US"/>
        </w:rPr>
      </w:pPr>
      <w:r w:rsidRPr="00C85271">
        <w:rPr>
          <w:lang w:val="en-GB"/>
        </w:rPr>
        <w:t>Leoni is a global supplier of wires, optical fibers, cables and cable systems as well as related services for the automotive sector and further industries. Leoni develops and produces technically sophisticated products fro</w:t>
      </w:r>
      <w:r w:rsidR="008F37D5">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BE505C">
        <w:rPr>
          <w:lang w:val="en-GB"/>
        </w:rPr>
        <w:t>more than</w:t>
      </w:r>
      <w:r w:rsidR="00725A31">
        <w:rPr>
          <w:lang w:val="en-GB"/>
        </w:rPr>
        <w:t xml:space="preserve"> </w:t>
      </w:r>
      <w:r w:rsidR="00B765CD">
        <w:rPr>
          <w:lang w:val="en-GB"/>
        </w:rPr>
        <w:t>59</w:t>
      </w:r>
      <w:r w:rsidRPr="00C85271">
        <w:rPr>
          <w:lang w:val="en-GB"/>
        </w:rPr>
        <w:t>,000 people in 3</w:t>
      </w:r>
      <w:r w:rsidR="00B765CD">
        <w:rPr>
          <w:lang w:val="en-GB"/>
        </w:rPr>
        <w:t>2</w:t>
      </w:r>
      <w:r w:rsidRPr="00C85271">
        <w:rPr>
          <w:lang w:val="en-GB"/>
        </w:rPr>
        <w:t xml:space="preserve"> countries and generated consolidated sales of </w:t>
      </w:r>
      <w:r w:rsidRPr="00B572CD">
        <w:rPr>
          <w:lang w:val="en-US"/>
        </w:rPr>
        <w:t xml:space="preserve">EUR </w:t>
      </w:r>
      <w:r w:rsidR="00B572CD" w:rsidRPr="00B572CD">
        <w:rPr>
          <w:lang w:val="en-US"/>
        </w:rPr>
        <w:t>3.</w:t>
      </w:r>
      <w:r w:rsidR="00B765CD">
        <w:rPr>
          <w:lang w:val="en-US"/>
        </w:rPr>
        <w:t>81</w:t>
      </w:r>
      <w:r w:rsidRPr="00B572CD">
        <w:rPr>
          <w:lang w:val="en-US"/>
        </w:rPr>
        <w:t xml:space="preserve"> billion in 201</w:t>
      </w:r>
      <w:r w:rsidR="00B765CD">
        <w:rPr>
          <w:lang w:val="en-US"/>
        </w:rPr>
        <w:t>2</w:t>
      </w:r>
      <w:r w:rsidR="008F37D5">
        <w:rPr>
          <w:lang w:val="en-US"/>
        </w:rPr>
        <w:t>.</w:t>
      </w:r>
    </w:p>
    <w:p w:rsidR="004044A6" w:rsidRDefault="004044A6" w:rsidP="004044A6">
      <w:pPr>
        <w:pStyle w:val="MMKurzprofil"/>
        <w:rPr>
          <w:lang w:val="en-GB"/>
        </w:rPr>
      </w:pPr>
    </w:p>
    <w:p w:rsidR="004044A6" w:rsidRPr="004044A6" w:rsidRDefault="00BE505C" w:rsidP="004044A6">
      <w:pPr>
        <w:pStyle w:val="MMKurzprofil"/>
        <w:rPr>
          <w:lang w:val="en-US"/>
        </w:rPr>
      </w:pPr>
      <w:hyperlink r:id="rId10"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4044A6" w:rsidRPr="004044A6">
        <w:rPr>
          <w:lang w:val="en-US"/>
        </w:rPr>
        <w:t xml:space="preserve"> </w:t>
      </w:r>
      <w:hyperlink r:id="rId12" w:tgtFrame="_blank" w:history="1">
        <w:r>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4" w:history="1">
        <w:r w:rsidRPr="00C85271">
          <w:rPr>
            <w:rStyle w:val="Hyperlink"/>
            <w:rFonts w:cs="Times New Roman"/>
            <w:szCs w:val="24"/>
            <w:lang w:val="en-GB"/>
          </w:rPr>
          <w:t>presse@leoni.com</w:t>
        </w:r>
      </w:hyperlink>
    </w:p>
    <w:sectPr w:rsidR="0098775F" w:rsidSect="00452CF6">
      <w:headerReference w:type="default" r:id="rId15"/>
      <w:footerReference w:type="default" r:id="rId16"/>
      <w:headerReference w:type="first" r:id="rId17"/>
      <w:footerReference w:type="first" r:id="rId18"/>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8C" w:rsidRDefault="00B8338C">
      <w:pPr>
        <w:rPr>
          <w:sz w:val="16"/>
        </w:rPr>
      </w:pPr>
      <w:r>
        <w:separator/>
      </w:r>
    </w:p>
  </w:endnote>
  <w:endnote w:type="continuationSeparator" w:id="0">
    <w:p w:rsidR="00B8338C" w:rsidRDefault="00B8338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8C" w:rsidRDefault="00B8338C">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BE505C">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BE505C">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B8338C" w:rsidRDefault="00B8338C">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8C" w:rsidRDefault="00B8338C">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8338C" w:rsidRDefault="00B8338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8338C" w:rsidRDefault="00B8338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8338C" w:rsidRDefault="00B8338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8338C" w:rsidRDefault="00B8338C">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8338C" w:rsidRDefault="00B8338C">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8C" w:rsidRDefault="00B8338C">
      <w:pPr>
        <w:rPr>
          <w:sz w:val="16"/>
        </w:rPr>
      </w:pPr>
      <w:r>
        <w:separator/>
      </w:r>
    </w:p>
  </w:footnote>
  <w:footnote w:type="continuationSeparator" w:id="0">
    <w:p w:rsidR="00B8338C" w:rsidRDefault="00B8338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8C" w:rsidRPr="00F17738" w:rsidRDefault="00B8338C" w:rsidP="00F65C50">
    <w:pPr>
      <w:pStyle w:val="Kopfzeile"/>
      <w:tabs>
        <w:tab w:val="clear" w:pos="9072"/>
        <w:tab w:val="right" w:pos="9639"/>
      </w:tabs>
      <w:spacing w:after="0" w:line="240" w:lineRule="auto"/>
      <w:rPr>
        <w:rFonts w:ascii="Verdana" w:hAnsi="Verdana"/>
        <w:sz w:val="20"/>
      </w:rPr>
    </w:pPr>
  </w:p>
  <w:p w:rsidR="00B8338C" w:rsidRDefault="00B8338C" w:rsidP="00F65C50">
    <w:pPr>
      <w:pStyle w:val="Kopfzeile"/>
      <w:tabs>
        <w:tab w:val="clear" w:pos="9072"/>
        <w:tab w:val="right" w:pos="9639"/>
      </w:tabs>
      <w:spacing w:after="0" w:line="240" w:lineRule="auto"/>
      <w:rPr>
        <w:rFonts w:ascii="Verdana" w:hAnsi="Verdana"/>
        <w:sz w:val="20"/>
      </w:rPr>
    </w:pPr>
  </w:p>
  <w:p w:rsidR="00B8338C" w:rsidRPr="00F17738" w:rsidRDefault="00BE505C"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B8338C" w:rsidRDefault="00B8338C" w:rsidP="00F65C50">
    <w:pPr>
      <w:spacing w:before="60" w:after="0" w:line="360" w:lineRule="auto"/>
      <w:ind w:right="1429"/>
      <w:rPr>
        <w:rFonts w:ascii="Arial" w:hAnsi="Arial" w:cs="Arial"/>
        <w:b/>
        <w:sz w:val="20"/>
        <w:szCs w:val="20"/>
      </w:rPr>
    </w:pPr>
  </w:p>
  <w:p w:rsidR="00B8338C" w:rsidRDefault="00B8338C"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B8338C" w:rsidRDefault="00B8338C">
    <w:pPr>
      <w:pStyle w:val="Kopfzeile"/>
      <w:tabs>
        <w:tab w:val="clear" w:pos="9072"/>
        <w:tab w:val="right" w:pos="9639"/>
      </w:tabs>
      <w:rPr>
        <w:rFonts w:ascii="Verdana" w:hAnsi="Verdana"/>
        <w:sz w:val="20"/>
      </w:rPr>
    </w:pPr>
  </w:p>
  <w:p w:rsidR="00B8338C" w:rsidRDefault="00B8338C">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E505C">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329A"/>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24C63"/>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2E1F50"/>
    <w:rsid w:val="003118F1"/>
    <w:rsid w:val="00314B8D"/>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9298A"/>
    <w:rsid w:val="00492E67"/>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96E8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E7A1F"/>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27B83"/>
    <w:rsid w:val="0083522C"/>
    <w:rsid w:val="008446CD"/>
    <w:rsid w:val="008920B0"/>
    <w:rsid w:val="008A0985"/>
    <w:rsid w:val="008A1C0B"/>
    <w:rsid w:val="008A3A81"/>
    <w:rsid w:val="008B6597"/>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536E6"/>
    <w:rsid w:val="00A54DDA"/>
    <w:rsid w:val="00A6060D"/>
    <w:rsid w:val="00A66992"/>
    <w:rsid w:val="00A708D7"/>
    <w:rsid w:val="00A7468A"/>
    <w:rsid w:val="00A76415"/>
    <w:rsid w:val="00A94085"/>
    <w:rsid w:val="00AA16D7"/>
    <w:rsid w:val="00AA2A8D"/>
    <w:rsid w:val="00AB4893"/>
    <w:rsid w:val="00AC2AE0"/>
    <w:rsid w:val="00AC5497"/>
    <w:rsid w:val="00AC7A23"/>
    <w:rsid w:val="00AD3E26"/>
    <w:rsid w:val="00AD4A54"/>
    <w:rsid w:val="00AE31C1"/>
    <w:rsid w:val="00AE43B7"/>
    <w:rsid w:val="00AE651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765CD"/>
    <w:rsid w:val="00B8338C"/>
    <w:rsid w:val="00B86027"/>
    <w:rsid w:val="00B96DE2"/>
    <w:rsid w:val="00BA0052"/>
    <w:rsid w:val="00BB1A73"/>
    <w:rsid w:val="00BB4148"/>
    <w:rsid w:val="00BB69CA"/>
    <w:rsid w:val="00BC37D4"/>
    <w:rsid w:val="00BC5FE7"/>
    <w:rsid w:val="00BD22AC"/>
    <w:rsid w:val="00BD2643"/>
    <w:rsid w:val="00BD26C1"/>
    <w:rsid w:val="00BD4058"/>
    <w:rsid w:val="00BD6804"/>
    <w:rsid w:val="00BE505C"/>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139C"/>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C3338"/>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link w:val="MMU1Zchn"/>
    <w:autoRedefine/>
    <w:qFormat/>
    <w:rsid w:val="00AE6517"/>
    <w:pPr>
      <w:keepNext w:val="0"/>
      <w:keepLines w:val="0"/>
      <w:spacing w:before="0" w:line="360" w:lineRule="auto"/>
      <w:ind w:right="1922"/>
    </w:pPr>
    <w:rPr>
      <w:rFonts w:ascii="Arial" w:hAnsi="Arial"/>
      <w:color w:val="112E6B"/>
      <w:spacing w:val="-4"/>
      <w:sz w:val="24"/>
      <w:szCs w:val="20"/>
      <w:lang w:val="en-US"/>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link w:val="MMVorspannZchn"/>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link w:val="MMU2Zch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link w:val="MMFlietextZchn"/>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 w:type="character" w:customStyle="1" w:styleId="MMU1Zchn">
    <w:name w:val="MM U1 Zchn"/>
    <w:link w:val="MMU1"/>
    <w:locked/>
    <w:rsid w:val="00AE6517"/>
    <w:rPr>
      <w:rFonts w:ascii="Arial" w:eastAsia="Times New Roman" w:hAnsi="Arial"/>
      <w:b/>
      <w:bCs/>
      <w:color w:val="112E6B"/>
      <w:spacing w:val="-4"/>
      <w:sz w:val="24"/>
      <w:lang w:val="en-US"/>
    </w:rPr>
  </w:style>
  <w:style w:type="character" w:customStyle="1" w:styleId="MMU2Zchn">
    <w:name w:val="MM U2 Zchn"/>
    <w:link w:val="MMU2"/>
    <w:locked/>
    <w:rsid w:val="00AE6517"/>
    <w:rPr>
      <w:rFonts w:ascii="Arial" w:eastAsia="Times New Roman" w:hAnsi="Arial" w:cs="Arial"/>
      <w:sz w:val="24"/>
      <w:szCs w:val="24"/>
      <w:lang w:val="en-GB"/>
    </w:rPr>
  </w:style>
  <w:style w:type="character" w:customStyle="1" w:styleId="MMVorspannZchn">
    <w:name w:val="MM Vorspann Zchn"/>
    <w:link w:val="MMVorspann"/>
    <w:locked/>
    <w:rsid w:val="00AE6517"/>
    <w:rPr>
      <w:rFonts w:ascii="Arial" w:eastAsia="Times New Roman" w:hAnsi="Arial" w:cs="Arial"/>
      <w:b/>
      <w:bCs/>
      <w:sz w:val="22"/>
      <w:szCs w:val="22"/>
    </w:rPr>
  </w:style>
  <w:style w:type="character" w:customStyle="1" w:styleId="MMFlietextZchn">
    <w:name w:val="MM Fließtext Zchn"/>
    <w:link w:val="MMFlietext"/>
    <w:locked/>
    <w:rsid w:val="00AE6517"/>
    <w:rPr>
      <w:rFonts w:ascii="Arial" w:hAnsi="Arial" w:cs="Arial"/>
      <w:sz w:val="22"/>
      <w:szCs w:val="22"/>
    </w:rPr>
  </w:style>
  <w:style w:type="character" w:customStyle="1" w:styleId="MMZwischenberschriftZchn">
    <w:name w:val="MM Zwischenüberschrift Zchn"/>
    <w:link w:val="MMZwischenberschrift"/>
    <w:locked/>
    <w:rsid w:val="00AE6517"/>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i.com/?gb12&amp;L=1"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8199</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2011-03-16T09:24:00Z</cp:lastPrinted>
  <dcterms:created xsi:type="dcterms:W3CDTF">2013-03-15T14:17:00Z</dcterms:created>
  <dcterms:modified xsi:type="dcterms:W3CDTF">2013-03-18T12:51:00Z</dcterms:modified>
</cp:coreProperties>
</file>