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B1" w:rsidRPr="00F55CB1" w:rsidRDefault="00F55CB1" w:rsidP="00F55CB1">
      <w:pPr>
        <w:pStyle w:val="MMU1"/>
        <w:rPr>
          <w:bCs w:val="0"/>
          <w:szCs w:val="24"/>
          <w:lang w:val="en-US"/>
        </w:rPr>
      </w:pPr>
      <w:proofErr w:type="spellStart"/>
      <w:r>
        <w:rPr>
          <w:bCs w:val="0"/>
          <w:szCs w:val="24"/>
          <w:lang w:val="en-GB"/>
        </w:rPr>
        <w:t>Leoni’s</w:t>
      </w:r>
      <w:proofErr w:type="spellEnd"/>
      <w:r>
        <w:rPr>
          <w:bCs w:val="0"/>
          <w:szCs w:val="24"/>
          <w:lang w:val="en-GB"/>
        </w:rPr>
        <w:t xml:space="preserve"> sales held steady in the 1</w:t>
      </w:r>
      <w:r>
        <w:rPr>
          <w:bCs w:val="0"/>
          <w:szCs w:val="24"/>
          <w:vertAlign w:val="superscript"/>
          <w:lang w:val="en-GB"/>
        </w:rPr>
        <w:t>st</w:t>
      </w:r>
      <w:r>
        <w:rPr>
          <w:bCs w:val="0"/>
          <w:szCs w:val="24"/>
          <w:lang w:val="en-GB"/>
        </w:rPr>
        <w:t xml:space="preserve"> quarter of 2013</w:t>
      </w:r>
    </w:p>
    <w:p w:rsidR="00F55CB1" w:rsidRDefault="00F55CB1" w:rsidP="00F55CB1">
      <w:pPr>
        <w:pStyle w:val="MMU2"/>
        <w:rPr>
          <w:rFonts w:cs="Times New Roman"/>
        </w:rPr>
      </w:pPr>
      <w:r>
        <w:rPr>
          <w:rFonts w:cs="Times New Roman"/>
        </w:rPr>
        <w:t>EBIT down on previous year as expected – new orders underpinning medium-term forecast</w:t>
      </w:r>
    </w:p>
    <w:p w:rsidR="00F55CB1" w:rsidRPr="00F55CB1" w:rsidRDefault="00F55CB1" w:rsidP="00F55CB1">
      <w:pPr>
        <w:pStyle w:val="MMVorspann"/>
        <w:rPr>
          <w:rFonts w:cs="Times New Roman"/>
          <w:bCs w:val="0"/>
          <w:szCs w:val="24"/>
          <w:lang w:val="en-US"/>
        </w:rPr>
      </w:pPr>
      <w:r>
        <w:rPr>
          <w:rFonts w:cs="Times New Roman"/>
          <w:bCs w:val="0"/>
          <w:szCs w:val="24"/>
          <w:lang w:val="en-GB"/>
        </w:rPr>
        <w:t xml:space="preserve">Nuremberg, 14 May 2013 – Leoni, the leading provider of cables and cable systems to the automotive sector and other industries, kept the volume of its business virtually unchanged in the first quarter of 2013 despite partially tough underlying economic conditions. Consolidated sales from January to March came to EUR 959.0 million, down from EUR 969.1 million in the same period of the previous year. This involved consistently good sales to the automotive industry for the Asian and North American markets, whereas demand from carmakers in Europe as well as from other customer industries was down. Consolidated earnings before interest and taxes (EBIT) amounted to EUR 38.5 million in the first three months of 2013 (previous year: EUR 94.2 million). Non-recurring positive items amounting to EUR 34.5 million boosted the comparable figure for the same period of the previous year. By contrast and as planned, the Company had to absorb substantial start-up costs and pre-production expenses for new wiring system orders, spending on IT projects as well as the effect of lower utilisation of capacity to produce cable for industrial applications at the beginning of 2013. </w:t>
      </w:r>
    </w:p>
    <w:p w:rsidR="00F55CB1" w:rsidRPr="00F55CB1" w:rsidRDefault="00F55CB1" w:rsidP="00F55CB1">
      <w:pPr>
        <w:pStyle w:val="MMFlietext"/>
        <w:rPr>
          <w:rFonts w:cs="Times New Roman"/>
          <w:szCs w:val="24"/>
          <w:lang w:val="en-US"/>
        </w:rPr>
      </w:pPr>
      <w:r>
        <w:rPr>
          <w:rFonts w:cs="Times New Roman"/>
          <w:szCs w:val="24"/>
          <w:lang w:val="en-GB"/>
        </w:rPr>
        <w:t xml:space="preserve">On 31 March 2013, Leoni employed 59,884 people Group-wide; 491 more than at the turn of the year (31 December 2012: 59,393). In Germany, Leoni had 4,180 employees at the end of the period under report; up from 4,172 at the end of 2012.  </w:t>
      </w:r>
    </w:p>
    <w:p w:rsidR="00F55CB1" w:rsidRPr="00F55CB1" w:rsidRDefault="00F55CB1" w:rsidP="00F55CB1">
      <w:pPr>
        <w:pStyle w:val="MMZwischenberschrift"/>
        <w:rPr>
          <w:rFonts w:cs="Times New Roman"/>
          <w:szCs w:val="24"/>
          <w:lang w:val="en-US"/>
        </w:rPr>
      </w:pPr>
      <w:r>
        <w:rPr>
          <w:rFonts w:cs="Times New Roman"/>
          <w:szCs w:val="24"/>
          <w:lang w:val="en-GB"/>
        </w:rPr>
        <w:t>WSD: continued strong growth in Asia</w:t>
      </w:r>
    </w:p>
    <w:p w:rsidR="00F55CB1" w:rsidRPr="00F55CB1" w:rsidRDefault="00F55CB1" w:rsidP="00F55CB1">
      <w:pPr>
        <w:pStyle w:val="MMFlietext"/>
        <w:rPr>
          <w:rFonts w:cs="Times New Roman"/>
          <w:szCs w:val="24"/>
          <w:lang w:val="en-US"/>
        </w:rPr>
      </w:pPr>
      <w:r>
        <w:rPr>
          <w:rFonts w:cs="Times New Roman"/>
          <w:szCs w:val="24"/>
          <w:lang w:val="en-GB"/>
        </w:rPr>
        <w:t xml:space="preserve">The Wiring Systems Division (WSD) generated external sales of EUR 567.8 million with wiring systems and cable harnesses during the period under report (previous year: EUR 570.0 million). Business in Asia made significant gains; by contrast, sales in Europe were down due to the weak economy, especially in the continent’s southern countries. Preparation for and starting production of </w:t>
      </w:r>
      <w:r>
        <w:rPr>
          <w:rFonts w:cs="Times New Roman"/>
          <w:szCs w:val="24"/>
          <w:lang w:val="en-GB"/>
        </w:rPr>
        <w:lastRenderedPageBreak/>
        <w:t xml:space="preserve">numerous new projects involving the international motor vehicle industry affected business performance as this temporarily caused heavy pre-production spending and start-up costs during the period under report. The division’s EBIT for the first three months of 2013 therefore dipped to EUR 24.4 million, although a once-off boost of EUR 5.0 million from first-time consolidation in full of Leoni Wiring Systems Korea influenced the comparable pre-year figure of EUR 44.1 million. </w:t>
      </w:r>
    </w:p>
    <w:p w:rsidR="00F55CB1" w:rsidRPr="00F55CB1" w:rsidRDefault="00F55CB1" w:rsidP="00F55CB1">
      <w:pPr>
        <w:pStyle w:val="MMFlietext"/>
        <w:rPr>
          <w:rFonts w:cs="Times New Roman"/>
          <w:szCs w:val="24"/>
          <w:lang w:val="en-US"/>
        </w:rPr>
      </w:pPr>
      <w:r>
        <w:rPr>
          <w:rFonts w:cs="Times New Roman"/>
          <w:szCs w:val="24"/>
          <w:lang w:val="en-GB"/>
        </w:rPr>
        <w:t>The receipt of numerous new orders from the global car, commercial vehicle and component supply industry in the first quarter of 2013 underpinned the Wiring Systems Division’s target for medium-term growth.</w:t>
      </w:r>
    </w:p>
    <w:p w:rsidR="00F55CB1" w:rsidRPr="00F55CB1" w:rsidRDefault="00F55CB1" w:rsidP="00F55CB1">
      <w:pPr>
        <w:pStyle w:val="MMZwischenberschrift"/>
        <w:rPr>
          <w:rFonts w:cs="Times New Roman"/>
          <w:szCs w:val="24"/>
          <w:lang w:val="en-US"/>
        </w:rPr>
      </w:pPr>
      <w:r>
        <w:rPr>
          <w:rFonts w:cs="Times New Roman"/>
          <w:szCs w:val="24"/>
          <w:lang w:val="en-GB"/>
        </w:rPr>
        <w:t>WCS: facility in India starts production</w:t>
      </w:r>
    </w:p>
    <w:p w:rsidR="00F55CB1" w:rsidRPr="00F55CB1" w:rsidRDefault="00F55CB1" w:rsidP="00F55CB1">
      <w:pPr>
        <w:pStyle w:val="MMFlietext"/>
        <w:rPr>
          <w:rFonts w:cs="Times New Roman"/>
          <w:szCs w:val="24"/>
          <w:lang w:val="en-US"/>
        </w:rPr>
      </w:pPr>
      <w:r>
        <w:rPr>
          <w:rFonts w:cs="Times New Roman"/>
          <w:szCs w:val="24"/>
          <w:lang w:val="en-GB"/>
        </w:rPr>
        <w:t>In the Wire &amp; Cable Solutions (WCS) Division, sustained strong demand for automotive cables in Asia and the Americas was offset by subdued business involving wire products, cables and cable systems in most other industrial sectors. The division’s external sales in the period from January to March of this year amounted to EUR 391.3 million (previous year: EUR 399.1 million). Less utilisation of production capacity in the industrial sectors adversely affected the division’s EBIT, which decreased to EUR 14.1 million (previous year: EUR 50.0 million). The previous year’s very high figure included non-recurring income of EUR 29.5 million from the sale of a subsidiary.</w:t>
      </w:r>
    </w:p>
    <w:p w:rsidR="00F55CB1" w:rsidRPr="00F55CB1" w:rsidRDefault="00F55CB1" w:rsidP="00F55CB1">
      <w:pPr>
        <w:pStyle w:val="MMFlietext"/>
        <w:rPr>
          <w:rFonts w:cs="Times New Roman"/>
          <w:szCs w:val="24"/>
          <w:lang w:val="en-US"/>
        </w:rPr>
      </w:pPr>
      <w:r>
        <w:rPr>
          <w:rFonts w:cs="Times New Roman"/>
          <w:szCs w:val="24"/>
          <w:lang w:val="en-GB"/>
        </w:rPr>
        <w:t xml:space="preserve">The WCS Division’s order receipts in the first three months of 2013 were up by 2 </w:t>
      </w:r>
      <w:proofErr w:type="spellStart"/>
      <w:r>
        <w:rPr>
          <w:rFonts w:cs="Times New Roman"/>
          <w:szCs w:val="24"/>
          <w:lang w:val="en-GB"/>
        </w:rPr>
        <w:t>percent</w:t>
      </w:r>
      <w:proofErr w:type="spellEnd"/>
      <w:r>
        <w:rPr>
          <w:rFonts w:cs="Times New Roman"/>
          <w:szCs w:val="24"/>
          <w:lang w:val="en-GB"/>
        </w:rPr>
        <w:t xml:space="preserve"> on the same period of 2012 to EUR 413.6 million and thus clearly exceeded sales for the period. The Company's new facility in India commenced production of automotive cables at the beginning of 2013 and it also began installing plant for manufacturing cables for the solar, railway and petrochemical industries. </w:t>
      </w:r>
    </w:p>
    <w:p w:rsidR="00F55CB1" w:rsidRPr="00F55CB1" w:rsidRDefault="00F55CB1" w:rsidP="00F55CB1">
      <w:pPr>
        <w:pStyle w:val="MMZwischenberschrift"/>
        <w:rPr>
          <w:rFonts w:cs="Times New Roman"/>
          <w:szCs w:val="24"/>
          <w:lang w:val="en-US"/>
        </w:rPr>
      </w:pPr>
      <w:r>
        <w:rPr>
          <w:rFonts w:cs="Times New Roman"/>
          <w:szCs w:val="24"/>
          <w:lang w:val="en-GB"/>
        </w:rPr>
        <w:t>Forecasts for the year and the medium term reaffirmed</w:t>
      </w:r>
    </w:p>
    <w:p w:rsidR="0098775F" w:rsidRPr="007F08F8" w:rsidRDefault="00F55CB1" w:rsidP="00F55CB1">
      <w:pPr>
        <w:pStyle w:val="MMFlietext"/>
        <w:rPr>
          <w:rFonts w:cs="Times New Roman"/>
          <w:szCs w:val="24"/>
          <w:lang w:val="en-US"/>
        </w:rPr>
      </w:pPr>
      <w:r>
        <w:rPr>
          <w:lang w:val="en-GB"/>
        </w:rPr>
        <w:t>Leoni is confident that its business will, after the expectedly somewhat weaker first quarter, improve in the course of the year and that it will succeed in generating an increase in earnings especially in the second half.</w:t>
      </w:r>
      <w:r w:rsidRPr="00F55CB1">
        <w:rPr>
          <w:lang w:val="en-US"/>
        </w:rPr>
        <w:t xml:space="preserve"> </w:t>
      </w:r>
      <w:r>
        <w:rPr>
          <w:lang w:val="en-GB"/>
        </w:rPr>
        <w:t xml:space="preserve">The Company therefore still forecasts sales of about EUR 3.7 billion for the year as a whole </w:t>
      </w:r>
      <w:r>
        <w:rPr>
          <w:lang w:val="en-GB"/>
        </w:rPr>
        <w:lastRenderedPageBreak/>
        <w:t>(previous year: EUR 3.81 billion) and EBIT of approx. EUR 170 million (previous year*: EUR 237.9 million).</w:t>
      </w:r>
      <w:r w:rsidRPr="00F55CB1">
        <w:rPr>
          <w:lang w:val="en-US"/>
        </w:rPr>
        <w:t xml:space="preserve"> </w:t>
      </w:r>
      <w:r>
        <w:rPr>
          <w:lang w:val="en-GB"/>
        </w:rPr>
        <w:t>Based on the good order situation, Leoni expects a significant surge in growth amounting to at least EUR 400 million as early as 2014.</w:t>
      </w:r>
    </w:p>
    <w:p w:rsidR="00AC5497" w:rsidRPr="00424182" w:rsidRDefault="00AC5497">
      <w:pPr>
        <w:pStyle w:val="MMFlietext"/>
        <w:rPr>
          <w:sz w:val="21"/>
          <w:szCs w:val="21"/>
          <w:lang w:val="en-GB"/>
        </w:rPr>
      </w:pPr>
      <w:r w:rsidRPr="00424182">
        <w:rPr>
          <w:i/>
          <w:sz w:val="21"/>
          <w:szCs w:val="21"/>
          <w:lang w:val="en-GB"/>
        </w:rPr>
        <w:t>(</w:t>
      </w:r>
      <w:r w:rsidR="00BD135F">
        <w:rPr>
          <w:i/>
          <w:sz w:val="21"/>
          <w:szCs w:val="21"/>
          <w:lang w:val="en-GB"/>
        </w:rPr>
        <w:t>4,</w:t>
      </w:r>
      <w:r w:rsidR="000209BC">
        <w:rPr>
          <w:i/>
          <w:sz w:val="21"/>
          <w:szCs w:val="21"/>
          <w:lang w:val="en-GB"/>
        </w:rPr>
        <w:t>377</w:t>
      </w:r>
      <w:r w:rsidRPr="00424182">
        <w:rPr>
          <w:i/>
          <w:sz w:val="21"/>
          <w:szCs w:val="21"/>
          <w:lang w:val="en-GB"/>
        </w:rPr>
        <w:t xml:space="preserve"> characters </w:t>
      </w:r>
      <w:proofErr w:type="spellStart"/>
      <w:r w:rsidRPr="00424182">
        <w:rPr>
          <w:i/>
          <w:sz w:val="21"/>
          <w:szCs w:val="21"/>
          <w:lang w:val="en-GB"/>
        </w:rPr>
        <w:t>incl</w:t>
      </w:r>
      <w:proofErr w:type="spellEnd"/>
      <w:r w:rsidRPr="00424182">
        <w:rPr>
          <w:i/>
          <w:sz w:val="21"/>
          <w:szCs w:val="21"/>
          <w:lang w:val="en-GB"/>
        </w:rPr>
        <w:t xml:space="preserve"> </w:t>
      </w:r>
      <w:proofErr w:type="spellStart"/>
      <w:proofErr w:type="gramStart"/>
      <w:r w:rsidR="000209BC">
        <w:rPr>
          <w:i/>
          <w:sz w:val="21"/>
          <w:szCs w:val="21"/>
          <w:lang w:val="en-GB"/>
        </w:rPr>
        <w:t>blancs</w:t>
      </w:r>
      <w:proofErr w:type="spellEnd"/>
      <w:proofErr w:type="gramEnd"/>
      <w:r w:rsidRPr="00424182">
        <w:rPr>
          <w:i/>
          <w:sz w:val="21"/>
          <w:szCs w:val="21"/>
          <w:lang w:val="en-GB"/>
        </w:rPr>
        <w:t>)</w:t>
      </w:r>
    </w:p>
    <w:p w:rsidR="00E26F48" w:rsidRDefault="00E26F48" w:rsidP="00E26F48">
      <w:pPr>
        <w:pStyle w:val="MMKurzprofilberschrift"/>
        <w:spacing w:after="120"/>
        <w:rPr>
          <w:rFonts w:cs="Times New Roman"/>
          <w:szCs w:val="24"/>
          <w:lang w:val="en-GB"/>
        </w:rPr>
      </w:pPr>
      <w:r w:rsidRPr="008218D9">
        <w:rPr>
          <w:rFonts w:cs="Times New Roman"/>
          <w:szCs w:val="24"/>
          <w:lang w:val="en-GB"/>
        </w:rPr>
        <w:t>Leoni performance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28" w:type="dxa"/>
        </w:tblCellMar>
        <w:tblLook w:val="01E0" w:firstRow="1" w:lastRow="1" w:firstColumn="1" w:lastColumn="1" w:noHBand="0" w:noVBand="0"/>
      </w:tblPr>
      <w:tblGrid>
        <w:gridCol w:w="4077"/>
        <w:gridCol w:w="1276"/>
        <w:gridCol w:w="1276"/>
        <w:gridCol w:w="1276"/>
      </w:tblGrid>
      <w:tr w:rsidR="009E06E1" w:rsidRPr="00DF6351" w:rsidTr="00B8338C">
        <w:trPr>
          <w:trHeight w:hRule="exact" w:val="227"/>
        </w:trPr>
        <w:tc>
          <w:tcPr>
            <w:tcW w:w="4077" w:type="dxa"/>
          </w:tcPr>
          <w:p w:rsidR="009E06E1" w:rsidRPr="00DF6351" w:rsidRDefault="0004329A" w:rsidP="00B8338C">
            <w:pPr>
              <w:tabs>
                <w:tab w:val="left" w:pos="8505"/>
              </w:tabs>
              <w:rPr>
                <w:rFonts w:ascii="Arial" w:hAnsi="Arial" w:cs="Arial"/>
                <w:b/>
                <w:sz w:val="18"/>
                <w:szCs w:val="18"/>
              </w:rPr>
            </w:pPr>
            <w:r>
              <w:rPr>
                <w:rFonts w:ascii="Arial" w:hAnsi="Arial" w:cs="Arial"/>
                <w:b/>
                <w:sz w:val="18"/>
                <w:szCs w:val="18"/>
              </w:rPr>
              <w:t xml:space="preserve">Group </w:t>
            </w:r>
            <w:proofErr w:type="spellStart"/>
            <w:r>
              <w:rPr>
                <w:rFonts w:ascii="Arial" w:hAnsi="Arial" w:cs="Arial"/>
                <w:b/>
                <w:sz w:val="18"/>
                <w:szCs w:val="18"/>
              </w:rPr>
              <w:t>k</w:t>
            </w:r>
            <w:r w:rsidR="009E06E1" w:rsidRPr="00DF6351">
              <w:rPr>
                <w:rFonts w:ascii="Arial" w:hAnsi="Arial" w:cs="Arial"/>
                <w:b/>
                <w:sz w:val="18"/>
                <w:szCs w:val="18"/>
              </w:rPr>
              <w:t>e</w:t>
            </w:r>
            <w:r w:rsidR="009E06E1">
              <w:rPr>
                <w:rFonts w:ascii="Arial" w:hAnsi="Arial" w:cs="Arial"/>
                <w:b/>
                <w:sz w:val="18"/>
                <w:szCs w:val="18"/>
              </w:rPr>
              <w:t>y</w:t>
            </w:r>
            <w:proofErr w:type="spellEnd"/>
            <w:r w:rsidR="009E06E1">
              <w:rPr>
                <w:rFonts w:ascii="Arial" w:hAnsi="Arial" w:cs="Arial"/>
                <w:b/>
                <w:sz w:val="18"/>
                <w:szCs w:val="18"/>
              </w:rPr>
              <w:t xml:space="preserve"> </w:t>
            </w:r>
            <w:proofErr w:type="spellStart"/>
            <w:r w:rsidR="009E06E1">
              <w:rPr>
                <w:rFonts w:ascii="Arial" w:hAnsi="Arial" w:cs="Arial"/>
                <w:b/>
                <w:sz w:val="18"/>
                <w:szCs w:val="18"/>
              </w:rPr>
              <w:t>figures</w:t>
            </w:r>
            <w:proofErr w:type="spellEnd"/>
          </w:p>
        </w:tc>
        <w:tc>
          <w:tcPr>
            <w:tcW w:w="1276" w:type="dxa"/>
          </w:tcPr>
          <w:p w:rsidR="009E06E1" w:rsidRPr="00DF6351" w:rsidRDefault="007F08F8" w:rsidP="00F55CB1">
            <w:pPr>
              <w:tabs>
                <w:tab w:val="left" w:pos="8505"/>
              </w:tabs>
              <w:rPr>
                <w:rFonts w:ascii="Arial" w:hAnsi="Arial" w:cs="Arial"/>
                <w:b/>
                <w:sz w:val="18"/>
                <w:szCs w:val="18"/>
              </w:rPr>
            </w:pPr>
            <w:r>
              <w:rPr>
                <w:rFonts w:ascii="Arial" w:hAnsi="Arial" w:cs="Arial"/>
                <w:b/>
                <w:sz w:val="18"/>
                <w:szCs w:val="18"/>
              </w:rPr>
              <w:t xml:space="preserve">Q1 </w:t>
            </w:r>
            <w:r w:rsidR="009E06E1" w:rsidRPr="00DF6351">
              <w:rPr>
                <w:rFonts w:ascii="Arial" w:hAnsi="Arial" w:cs="Arial"/>
                <w:b/>
                <w:sz w:val="18"/>
                <w:szCs w:val="18"/>
              </w:rPr>
              <w:t>20</w:t>
            </w:r>
            <w:r w:rsidR="009E06E1">
              <w:rPr>
                <w:rFonts w:ascii="Arial" w:hAnsi="Arial" w:cs="Arial"/>
                <w:b/>
                <w:sz w:val="18"/>
                <w:szCs w:val="18"/>
              </w:rPr>
              <w:t>1</w:t>
            </w:r>
            <w:r w:rsidR="00F55CB1">
              <w:rPr>
                <w:rFonts w:ascii="Arial" w:hAnsi="Arial" w:cs="Arial"/>
                <w:b/>
                <w:sz w:val="18"/>
                <w:szCs w:val="18"/>
              </w:rPr>
              <w:t>3</w:t>
            </w:r>
          </w:p>
        </w:tc>
        <w:tc>
          <w:tcPr>
            <w:tcW w:w="1276" w:type="dxa"/>
          </w:tcPr>
          <w:p w:rsidR="009E06E1" w:rsidRPr="00DF6351" w:rsidRDefault="007F08F8" w:rsidP="00F55CB1">
            <w:pPr>
              <w:tabs>
                <w:tab w:val="left" w:pos="8505"/>
              </w:tabs>
              <w:rPr>
                <w:rFonts w:ascii="Arial" w:hAnsi="Arial" w:cs="Arial"/>
                <w:b/>
                <w:sz w:val="18"/>
                <w:szCs w:val="18"/>
              </w:rPr>
            </w:pPr>
            <w:r>
              <w:rPr>
                <w:rFonts w:ascii="Arial" w:hAnsi="Arial" w:cs="Arial"/>
                <w:b/>
                <w:sz w:val="18"/>
                <w:szCs w:val="18"/>
              </w:rPr>
              <w:t xml:space="preserve">Q1 </w:t>
            </w:r>
            <w:r w:rsidR="009E06E1" w:rsidRPr="00DF6351">
              <w:rPr>
                <w:rFonts w:ascii="Arial" w:hAnsi="Arial" w:cs="Arial"/>
                <w:b/>
                <w:sz w:val="18"/>
                <w:szCs w:val="18"/>
              </w:rPr>
              <w:t>20</w:t>
            </w:r>
            <w:r w:rsidR="009E06E1">
              <w:rPr>
                <w:rFonts w:ascii="Arial" w:hAnsi="Arial" w:cs="Arial"/>
                <w:b/>
                <w:sz w:val="18"/>
                <w:szCs w:val="18"/>
              </w:rPr>
              <w:t>1</w:t>
            </w:r>
            <w:r w:rsidR="00F55CB1">
              <w:rPr>
                <w:rFonts w:ascii="Arial" w:hAnsi="Arial" w:cs="Arial"/>
                <w:b/>
                <w:sz w:val="18"/>
                <w:szCs w:val="18"/>
              </w:rPr>
              <w:t>2</w:t>
            </w:r>
          </w:p>
        </w:tc>
        <w:tc>
          <w:tcPr>
            <w:tcW w:w="1276" w:type="dxa"/>
          </w:tcPr>
          <w:p w:rsidR="009E06E1" w:rsidRPr="00DF6351" w:rsidRDefault="009E06E1" w:rsidP="009E06E1">
            <w:pPr>
              <w:tabs>
                <w:tab w:val="left" w:pos="8505"/>
              </w:tabs>
              <w:ind w:left="-13" w:right="-108"/>
              <w:rPr>
                <w:rFonts w:ascii="Arial" w:hAnsi="Arial" w:cs="Arial"/>
                <w:b/>
                <w:sz w:val="18"/>
                <w:szCs w:val="18"/>
              </w:rPr>
            </w:pPr>
            <w:r>
              <w:rPr>
                <w:rFonts w:ascii="Arial" w:hAnsi="Arial" w:cs="Arial"/>
                <w:b/>
                <w:sz w:val="18"/>
                <w:szCs w:val="18"/>
              </w:rPr>
              <w:t>Change</w:t>
            </w:r>
          </w:p>
        </w:tc>
      </w:tr>
      <w:tr w:rsidR="008203D4" w:rsidRPr="0004329A" w:rsidTr="00B8338C">
        <w:trPr>
          <w:trHeight w:hRule="exact" w:val="284"/>
        </w:trPr>
        <w:tc>
          <w:tcPr>
            <w:tcW w:w="4077" w:type="dxa"/>
            <w:vAlign w:val="center"/>
          </w:tcPr>
          <w:p w:rsidR="008203D4" w:rsidRPr="007F08F8" w:rsidRDefault="008203D4" w:rsidP="007F08F8">
            <w:pPr>
              <w:tabs>
                <w:tab w:val="left" w:pos="8505"/>
              </w:tabs>
            </w:pPr>
            <w:r w:rsidRPr="007F08F8">
              <w:rPr>
                <w:rFonts w:ascii="Arial" w:hAnsi="Arial"/>
                <w:sz w:val="18"/>
                <w:lang w:val="en-GB"/>
              </w:rPr>
              <w:t>Sales [€ million]</w:t>
            </w:r>
          </w:p>
        </w:tc>
        <w:tc>
          <w:tcPr>
            <w:tcW w:w="1276" w:type="dxa"/>
            <w:vAlign w:val="center"/>
          </w:tcPr>
          <w:p w:rsidR="008203D4" w:rsidRDefault="008203D4" w:rsidP="008203D4">
            <w:pPr>
              <w:tabs>
                <w:tab w:val="left" w:pos="8505"/>
              </w:tabs>
              <w:jc w:val="right"/>
              <w:rPr>
                <w:rFonts w:ascii="Arial" w:hAnsi="Arial"/>
                <w:sz w:val="18"/>
                <w:szCs w:val="24"/>
                <w:lang w:val="en-GB" w:eastAsia="en-GB"/>
              </w:rPr>
            </w:pPr>
            <w:r>
              <w:rPr>
                <w:rFonts w:ascii="Arial" w:hAnsi="Arial"/>
                <w:sz w:val="18"/>
                <w:lang w:val="en-GB"/>
              </w:rPr>
              <w:t>959.0</w:t>
            </w:r>
          </w:p>
        </w:tc>
        <w:tc>
          <w:tcPr>
            <w:tcW w:w="1276" w:type="dxa"/>
            <w:vAlign w:val="center"/>
          </w:tcPr>
          <w:p w:rsidR="008203D4" w:rsidRPr="007F08F8" w:rsidRDefault="008203D4" w:rsidP="008203D4">
            <w:pPr>
              <w:tabs>
                <w:tab w:val="left" w:pos="8505"/>
              </w:tabs>
              <w:jc w:val="right"/>
              <w:rPr>
                <w:rFonts w:ascii="Arial" w:hAnsi="Arial"/>
                <w:sz w:val="18"/>
              </w:rPr>
            </w:pPr>
            <w:r w:rsidRPr="007F08F8">
              <w:rPr>
                <w:rFonts w:ascii="Arial" w:hAnsi="Arial"/>
                <w:sz w:val="18"/>
              </w:rPr>
              <w:t>969.1</w:t>
            </w:r>
          </w:p>
        </w:tc>
        <w:tc>
          <w:tcPr>
            <w:tcW w:w="1276" w:type="dxa"/>
            <w:vAlign w:val="center"/>
          </w:tcPr>
          <w:p w:rsidR="008203D4" w:rsidRPr="00CE1CD9" w:rsidRDefault="008203D4" w:rsidP="008203D4">
            <w:pPr>
              <w:tabs>
                <w:tab w:val="left" w:pos="8505"/>
              </w:tabs>
              <w:jc w:val="right"/>
              <w:rPr>
                <w:rFonts w:ascii="Arial" w:hAnsi="Arial" w:cs="Arial"/>
                <w:sz w:val="18"/>
                <w:szCs w:val="18"/>
              </w:rPr>
            </w:pPr>
            <w:r>
              <w:rPr>
                <w:rFonts w:ascii="Arial" w:hAnsi="Arial" w:cs="Arial"/>
                <w:sz w:val="18"/>
                <w:szCs w:val="18"/>
              </w:rPr>
              <w:t>(1.0)</w:t>
            </w:r>
            <w:r w:rsidRPr="00CE1CD9">
              <w:rPr>
                <w:rFonts w:ascii="Arial" w:hAnsi="Arial" w:cs="Arial"/>
                <w:sz w:val="18"/>
                <w:szCs w:val="18"/>
              </w:rPr>
              <w:t xml:space="preserve"> %</w:t>
            </w:r>
          </w:p>
        </w:tc>
      </w:tr>
      <w:tr w:rsidR="008203D4" w:rsidRPr="008203D4" w:rsidTr="00B8338C">
        <w:trPr>
          <w:trHeight w:hRule="exact" w:val="284"/>
        </w:trPr>
        <w:tc>
          <w:tcPr>
            <w:tcW w:w="4077" w:type="dxa"/>
            <w:vAlign w:val="center"/>
          </w:tcPr>
          <w:p w:rsidR="008203D4" w:rsidRPr="007F08F8" w:rsidRDefault="008203D4" w:rsidP="007F08F8">
            <w:pPr>
              <w:tabs>
                <w:tab w:val="left" w:pos="8505"/>
              </w:tabs>
            </w:pPr>
            <w:r w:rsidRPr="007F08F8">
              <w:rPr>
                <w:rFonts w:ascii="Arial" w:hAnsi="Arial"/>
                <w:sz w:val="18"/>
                <w:lang w:val="en-GB"/>
              </w:rPr>
              <w:t>EBITDA [€ million]</w:t>
            </w:r>
          </w:p>
        </w:tc>
        <w:tc>
          <w:tcPr>
            <w:tcW w:w="1276" w:type="dxa"/>
            <w:vAlign w:val="center"/>
          </w:tcPr>
          <w:p w:rsidR="008203D4" w:rsidRDefault="008203D4" w:rsidP="008203D4">
            <w:pPr>
              <w:tabs>
                <w:tab w:val="left" w:pos="8505"/>
              </w:tabs>
              <w:jc w:val="right"/>
              <w:rPr>
                <w:rFonts w:ascii="Arial" w:hAnsi="Arial"/>
                <w:sz w:val="18"/>
                <w:szCs w:val="24"/>
                <w:lang w:val="en-GB" w:eastAsia="en-GB"/>
              </w:rPr>
            </w:pPr>
            <w:r>
              <w:rPr>
                <w:rFonts w:ascii="Arial" w:hAnsi="Arial"/>
                <w:sz w:val="18"/>
                <w:lang w:val="en-GB"/>
              </w:rPr>
              <w:t>68.2</w:t>
            </w:r>
          </w:p>
        </w:tc>
        <w:tc>
          <w:tcPr>
            <w:tcW w:w="1276" w:type="dxa"/>
            <w:vAlign w:val="center"/>
          </w:tcPr>
          <w:p w:rsidR="008203D4" w:rsidRPr="007F08F8" w:rsidRDefault="008203D4" w:rsidP="008203D4">
            <w:pPr>
              <w:tabs>
                <w:tab w:val="left" w:pos="8505"/>
              </w:tabs>
              <w:jc w:val="right"/>
              <w:rPr>
                <w:rFonts w:ascii="Arial" w:hAnsi="Arial"/>
                <w:sz w:val="18"/>
              </w:rPr>
            </w:pPr>
            <w:r w:rsidRPr="007F08F8">
              <w:rPr>
                <w:rFonts w:ascii="Arial" w:hAnsi="Arial"/>
                <w:sz w:val="18"/>
              </w:rPr>
              <w:t>122.1</w:t>
            </w:r>
          </w:p>
        </w:tc>
        <w:tc>
          <w:tcPr>
            <w:tcW w:w="1276" w:type="dxa"/>
            <w:vAlign w:val="center"/>
          </w:tcPr>
          <w:p w:rsidR="008203D4" w:rsidRPr="008203D4" w:rsidRDefault="008203D4" w:rsidP="008203D4">
            <w:pPr>
              <w:tabs>
                <w:tab w:val="left" w:pos="8505"/>
              </w:tabs>
              <w:jc w:val="right"/>
              <w:rPr>
                <w:rFonts w:ascii="Arial" w:hAnsi="Arial" w:cs="Arial"/>
                <w:sz w:val="18"/>
                <w:szCs w:val="18"/>
                <w:lang w:val="en-US"/>
              </w:rPr>
            </w:pPr>
            <w:r w:rsidRPr="008203D4">
              <w:rPr>
                <w:rFonts w:ascii="Arial" w:hAnsi="Arial" w:cs="Arial"/>
                <w:sz w:val="18"/>
                <w:szCs w:val="18"/>
                <w:lang w:val="en-US"/>
              </w:rPr>
              <w:t>(44.4) %</w:t>
            </w:r>
          </w:p>
        </w:tc>
      </w:tr>
      <w:tr w:rsidR="008203D4" w:rsidRPr="008203D4" w:rsidTr="00B8338C">
        <w:trPr>
          <w:trHeight w:hRule="exact" w:val="284"/>
        </w:trPr>
        <w:tc>
          <w:tcPr>
            <w:tcW w:w="4077" w:type="dxa"/>
            <w:vAlign w:val="center"/>
          </w:tcPr>
          <w:p w:rsidR="008203D4" w:rsidRPr="008203D4" w:rsidRDefault="008203D4" w:rsidP="007F08F8">
            <w:pPr>
              <w:tabs>
                <w:tab w:val="left" w:pos="8505"/>
              </w:tabs>
              <w:rPr>
                <w:lang w:val="en-US"/>
              </w:rPr>
            </w:pPr>
            <w:r w:rsidRPr="007F08F8">
              <w:rPr>
                <w:rFonts w:ascii="Arial" w:hAnsi="Arial"/>
                <w:sz w:val="18"/>
                <w:lang w:val="en-GB"/>
              </w:rPr>
              <w:t>EBIT [€ million]</w:t>
            </w:r>
          </w:p>
        </w:tc>
        <w:tc>
          <w:tcPr>
            <w:tcW w:w="1276" w:type="dxa"/>
            <w:vAlign w:val="center"/>
          </w:tcPr>
          <w:p w:rsidR="008203D4" w:rsidRDefault="008203D4" w:rsidP="008203D4">
            <w:pPr>
              <w:tabs>
                <w:tab w:val="left" w:pos="8505"/>
              </w:tabs>
              <w:jc w:val="right"/>
              <w:rPr>
                <w:rFonts w:ascii="Arial" w:hAnsi="Arial"/>
                <w:sz w:val="18"/>
                <w:szCs w:val="24"/>
                <w:lang w:val="en-GB" w:eastAsia="en-GB"/>
              </w:rPr>
            </w:pPr>
            <w:r>
              <w:rPr>
                <w:rFonts w:ascii="Arial" w:hAnsi="Arial"/>
                <w:sz w:val="18"/>
                <w:lang w:val="en-GB"/>
              </w:rPr>
              <w:t>38.5</w:t>
            </w:r>
          </w:p>
        </w:tc>
        <w:tc>
          <w:tcPr>
            <w:tcW w:w="1276" w:type="dxa"/>
            <w:vAlign w:val="center"/>
          </w:tcPr>
          <w:p w:rsidR="008203D4" w:rsidRPr="008203D4" w:rsidRDefault="008203D4" w:rsidP="008203D4">
            <w:pPr>
              <w:tabs>
                <w:tab w:val="left" w:pos="8505"/>
              </w:tabs>
              <w:jc w:val="right"/>
              <w:rPr>
                <w:rFonts w:ascii="Arial" w:hAnsi="Arial"/>
                <w:sz w:val="18"/>
                <w:lang w:val="en-US"/>
              </w:rPr>
            </w:pPr>
            <w:r w:rsidRPr="008203D4">
              <w:rPr>
                <w:rFonts w:ascii="Arial" w:hAnsi="Arial"/>
                <w:sz w:val="18"/>
                <w:lang w:val="en-US"/>
              </w:rPr>
              <w:t>93.7</w:t>
            </w:r>
          </w:p>
        </w:tc>
        <w:tc>
          <w:tcPr>
            <w:tcW w:w="1276" w:type="dxa"/>
            <w:vAlign w:val="center"/>
          </w:tcPr>
          <w:p w:rsidR="008203D4" w:rsidRPr="008203D4" w:rsidRDefault="008203D4" w:rsidP="008203D4">
            <w:pPr>
              <w:tabs>
                <w:tab w:val="left" w:pos="8505"/>
              </w:tabs>
              <w:jc w:val="right"/>
              <w:rPr>
                <w:rFonts w:ascii="Arial" w:hAnsi="Arial" w:cs="Arial"/>
                <w:sz w:val="18"/>
                <w:szCs w:val="18"/>
                <w:lang w:val="en-US"/>
              </w:rPr>
            </w:pPr>
            <w:r w:rsidRPr="008203D4">
              <w:rPr>
                <w:rFonts w:ascii="Arial" w:hAnsi="Arial" w:cs="Arial"/>
                <w:sz w:val="18"/>
                <w:szCs w:val="18"/>
                <w:lang w:val="en-US"/>
              </w:rPr>
              <w:t>(59</w:t>
            </w:r>
            <w:r>
              <w:rPr>
                <w:rFonts w:ascii="Arial" w:hAnsi="Arial" w:cs="Arial"/>
                <w:sz w:val="18"/>
                <w:szCs w:val="18"/>
                <w:lang w:val="en-US"/>
              </w:rPr>
              <w:t>.</w:t>
            </w:r>
            <w:r w:rsidRPr="008203D4">
              <w:rPr>
                <w:rFonts w:ascii="Arial" w:hAnsi="Arial" w:cs="Arial"/>
                <w:sz w:val="18"/>
                <w:szCs w:val="18"/>
                <w:lang w:val="en-US"/>
              </w:rPr>
              <w:t>1) %</w:t>
            </w:r>
          </w:p>
        </w:tc>
      </w:tr>
      <w:tr w:rsidR="008203D4" w:rsidRPr="008203D4" w:rsidTr="00B8338C">
        <w:trPr>
          <w:trHeight w:hRule="exact" w:val="284"/>
        </w:trPr>
        <w:tc>
          <w:tcPr>
            <w:tcW w:w="4077" w:type="dxa"/>
            <w:vAlign w:val="center"/>
          </w:tcPr>
          <w:p w:rsidR="008203D4" w:rsidRPr="008203D4" w:rsidRDefault="008203D4" w:rsidP="007F08F8">
            <w:pPr>
              <w:tabs>
                <w:tab w:val="left" w:pos="8505"/>
              </w:tabs>
              <w:rPr>
                <w:lang w:val="en-US"/>
              </w:rPr>
            </w:pPr>
            <w:r w:rsidRPr="007F08F8">
              <w:rPr>
                <w:rFonts w:ascii="Arial" w:hAnsi="Arial"/>
                <w:sz w:val="18"/>
                <w:lang w:val="en-GB"/>
              </w:rPr>
              <w:t xml:space="preserve">Adjusted EBIT </w:t>
            </w:r>
            <w:r>
              <w:rPr>
                <w:rFonts w:ascii="Arial" w:hAnsi="Arial"/>
                <w:sz w:val="18"/>
                <w:lang w:val="en-GB"/>
              </w:rPr>
              <w:t>*</w:t>
            </w:r>
            <w:r w:rsidRPr="007F08F8">
              <w:rPr>
                <w:rFonts w:ascii="Arial" w:hAnsi="Arial"/>
                <w:sz w:val="18"/>
                <w:lang w:val="en-GB"/>
              </w:rPr>
              <w:t>* [€ million]</w:t>
            </w:r>
          </w:p>
        </w:tc>
        <w:tc>
          <w:tcPr>
            <w:tcW w:w="1276" w:type="dxa"/>
            <w:vAlign w:val="center"/>
          </w:tcPr>
          <w:p w:rsidR="008203D4" w:rsidRDefault="008203D4" w:rsidP="008203D4">
            <w:pPr>
              <w:tabs>
                <w:tab w:val="left" w:pos="8505"/>
              </w:tabs>
              <w:jc w:val="right"/>
              <w:rPr>
                <w:rFonts w:ascii="Arial" w:hAnsi="Arial"/>
                <w:sz w:val="18"/>
                <w:szCs w:val="24"/>
                <w:lang w:val="en-GB" w:eastAsia="en-GB"/>
              </w:rPr>
            </w:pPr>
            <w:r>
              <w:rPr>
                <w:rFonts w:ascii="Arial" w:hAnsi="Arial"/>
                <w:sz w:val="18"/>
                <w:lang w:val="en-GB"/>
              </w:rPr>
              <w:t>43.0</w:t>
            </w:r>
          </w:p>
        </w:tc>
        <w:tc>
          <w:tcPr>
            <w:tcW w:w="1276" w:type="dxa"/>
            <w:vAlign w:val="center"/>
          </w:tcPr>
          <w:p w:rsidR="008203D4" w:rsidRPr="008203D4" w:rsidRDefault="008203D4" w:rsidP="008203D4">
            <w:pPr>
              <w:tabs>
                <w:tab w:val="left" w:pos="8505"/>
              </w:tabs>
              <w:jc w:val="right"/>
              <w:rPr>
                <w:rFonts w:ascii="Arial" w:hAnsi="Arial"/>
                <w:sz w:val="18"/>
                <w:lang w:val="en-US"/>
              </w:rPr>
            </w:pPr>
            <w:r w:rsidRPr="008203D4">
              <w:rPr>
                <w:rFonts w:ascii="Arial" w:hAnsi="Arial"/>
                <w:sz w:val="18"/>
                <w:lang w:val="en-US"/>
              </w:rPr>
              <w:t>64.1</w:t>
            </w:r>
          </w:p>
        </w:tc>
        <w:tc>
          <w:tcPr>
            <w:tcW w:w="1276" w:type="dxa"/>
            <w:vAlign w:val="center"/>
          </w:tcPr>
          <w:p w:rsidR="008203D4" w:rsidRPr="008203D4" w:rsidRDefault="008203D4" w:rsidP="008203D4">
            <w:pPr>
              <w:tabs>
                <w:tab w:val="left" w:pos="8505"/>
              </w:tabs>
              <w:jc w:val="right"/>
              <w:rPr>
                <w:rFonts w:ascii="Arial" w:hAnsi="Arial" w:cs="Arial"/>
                <w:sz w:val="18"/>
                <w:szCs w:val="18"/>
                <w:lang w:val="en-US"/>
              </w:rPr>
            </w:pPr>
            <w:r w:rsidRPr="008203D4">
              <w:rPr>
                <w:rFonts w:ascii="Arial" w:hAnsi="Arial" w:cs="Arial"/>
                <w:sz w:val="18"/>
                <w:szCs w:val="18"/>
                <w:lang w:val="en-US"/>
              </w:rPr>
              <w:t>(33</w:t>
            </w:r>
            <w:r>
              <w:rPr>
                <w:rFonts w:ascii="Arial" w:hAnsi="Arial" w:cs="Arial"/>
                <w:sz w:val="18"/>
                <w:szCs w:val="18"/>
                <w:lang w:val="en-US"/>
              </w:rPr>
              <w:t>.</w:t>
            </w:r>
            <w:r w:rsidRPr="008203D4">
              <w:rPr>
                <w:rFonts w:ascii="Arial" w:hAnsi="Arial" w:cs="Arial"/>
                <w:sz w:val="18"/>
                <w:szCs w:val="18"/>
                <w:lang w:val="en-US"/>
              </w:rPr>
              <w:t>4) %</w:t>
            </w:r>
          </w:p>
        </w:tc>
      </w:tr>
      <w:tr w:rsidR="008203D4" w:rsidRPr="008203D4" w:rsidTr="00B8338C">
        <w:trPr>
          <w:trHeight w:hRule="exact" w:val="284"/>
        </w:trPr>
        <w:tc>
          <w:tcPr>
            <w:tcW w:w="4077" w:type="dxa"/>
            <w:vAlign w:val="center"/>
          </w:tcPr>
          <w:p w:rsidR="008203D4" w:rsidRPr="008203D4" w:rsidRDefault="008203D4" w:rsidP="007F08F8">
            <w:pPr>
              <w:tabs>
                <w:tab w:val="left" w:pos="8505"/>
              </w:tabs>
              <w:rPr>
                <w:lang w:val="en-US"/>
              </w:rPr>
            </w:pPr>
            <w:r w:rsidRPr="007F08F8">
              <w:rPr>
                <w:rFonts w:ascii="Arial" w:hAnsi="Arial"/>
                <w:sz w:val="18"/>
                <w:lang w:val="en-GB"/>
              </w:rPr>
              <w:t>EBT [€ million]</w:t>
            </w:r>
          </w:p>
        </w:tc>
        <w:tc>
          <w:tcPr>
            <w:tcW w:w="1276" w:type="dxa"/>
            <w:vAlign w:val="center"/>
          </w:tcPr>
          <w:p w:rsidR="008203D4" w:rsidRDefault="008203D4" w:rsidP="008203D4">
            <w:pPr>
              <w:tabs>
                <w:tab w:val="left" w:pos="8505"/>
              </w:tabs>
              <w:jc w:val="right"/>
              <w:rPr>
                <w:rFonts w:ascii="Arial" w:hAnsi="Arial"/>
                <w:sz w:val="18"/>
                <w:szCs w:val="24"/>
                <w:lang w:val="en-GB" w:eastAsia="en-GB"/>
              </w:rPr>
            </w:pPr>
            <w:r>
              <w:rPr>
                <w:rFonts w:ascii="Arial" w:hAnsi="Arial"/>
                <w:sz w:val="18"/>
                <w:lang w:val="en-GB"/>
              </w:rPr>
              <w:t>30.0</w:t>
            </w:r>
          </w:p>
        </w:tc>
        <w:tc>
          <w:tcPr>
            <w:tcW w:w="1276" w:type="dxa"/>
            <w:vAlign w:val="center"/>
          </w:tcPr>
          <w:p w:rsidR="008203D4" w:rsidRPr="008203D4" w:rsidRDefault="008203D4" w:rsidP="008203D4">
            <w:pPr>
              <w:tabs>
                <w:tab w:val="left" w:pos="8505"/>
              </w:tabs>
              <w:jc w:val="right"/>
              <w:rPr>
                <w:rFonts w:ascii="Arial" w:hAnsi="Arial"/>
                <w:sz w:val="18"/>
                <w:lang w:val="en-US"/>
              </w:rPr>
            </w:pPr>
            <w:r w:rsidRPr="008203D4">
              <w:rPr>
                <w:rFonts w:ascii="Arial" w:hAnsi="Arial"/>
                <w:sz w:val="18"/>
                <w:lang w:val="en-US"/>
              </w:rPr>
              <w:t>83.1</w:t>
            </w:r>
          </w:p>
        </w:tc>
        <w:tc>
          <w:tcPr>
            <w:tcW w:w="1276" w:type="dxa"/>
            <w:vAlign w:val="center"/>
          </w:tcPr>
          <w:p w:rsidR="008203D4" w:rsidRPr="008203D4" w:rsidRDefault="008203D4" w:rsidP="008203D4">
            <w:pPr>
              <w:tabs>
                <w:tab w:val="left" w:pos="8505"/>
              </w:tabs>
              <w:jc w:val="right"/>
              <w:rPr>
                <w:rFonts w:ascii="Arial" w:hAnsi="Arial" w:cs="Arial"/>
                <w:sz w:val="18"/>
                <w:szCs w:val="18"/>
                <w:lang w:val="en-US"/>
              </w:rPr>
            </w:pPr>
            <w:r w:rsidRPr="008203D4">
              <w:rPr>
                <w:rFonts w:ascii="Arial" w:hAnsi="Arial" w:cs="Arial"/>
                <w:sz w:val="18"/>
                <w:szCs w:val="18"/>
                <w:lang w:val="en-US"/>
              </w:rPr>
              <w:t>(64</w:t>
            </w:r>
            <w:r>
              <w:rPr>
                <w:rFonts w:ascii="Arial" w:hAnsi="Arial" w:cs="Arial"/>
                <w:sz w:val="18"/>
                <w:szCs w:val="18"/>
                <w:lang w:val="en-US"/>
              </w:rPr>
              <w:t>.</w:t>
            </w:r>
            <w:r w:rsidRPr="008203D4">
              <w:rPr>
                <w:rFonts w:ascii="Arial" w:hAnsi="Arial" w:cs="Arial"/>
                <w:sz w:val="18"/>
                <w:szCs w:val="18"/>
                <w:lang w:val="en-US"/>
              </w:rPr>
              <w:t>0) %</w:t>
            </w:r>
          </w:p>
        </w:tc>
      </w:tr>
      <w:tr w:rsidR="008203D4" w:rsidRPr="008203D4" w:rsidTr="00B8338C">
        <w:trPr>
          <w:trHeight w:hRule="exact" w:val="284"/>
        </w:trPr>
        <w:tc>
          <w:tcPr>
            <w:tcW w:w="4077" w:type="dxa"/>
            <w:vAlign w:val="center"/>
          </w:tcPr>
          <w:p w:rsidR="008203D4" w:rsidRPr="007F08F8" w:rsidRDefault="008203D4" w:rsidP="007F08F8">
            <w:pPr>
              <w:tabs>
                <w:tab w:val="left" w:pos="8505"/>
              </w:tabs>
            </w:pPr>
            <w:r w:rsidRPr="007F08F8">
              <w:rPr>
                <w:rFonts w:ascii="Arial" w:hAnsi="Arial"/>
                <w:sz w:val="18"/>
                <w:lang w:val="en-GB"/>
              </w:rPr>
              <w:t>Consolidated net income [€ million]</w:t>
            </w:r>
          </w:p>
        </w:tc>
        <w:tc>
          <w:tcPr>
            <w:tcW w:w="1276" w:type="dxa"/>
            <w:vAlign w:val="center"/>
          </w:tcPr>
          <w:p w:rsidR="008203D4" w:rsidRDefault="008203D4" w:rsidP="008203D4">
            <w:pPr>
              <w:tabs>
                <w:tab w:val="left" w:pos="8505"/>
              </w:tabs>
              <w:jc w:val="right"/>
              <w:rPr>
                <w:rFonts w:ascii="Arial" w:hAnsi="Arial"/>
                <w:sz w:val="18"/>
                <w:szCs w:val="24"/>
                <w:lang w:val="en-GB" w:eastAsia="en-GB"/>
              </w:rPr>
            </w:pPr>
            <w:r>
              <w:rPr>
                <w:rFonts w:ascii="Arial" w:hAnsi="Arial"/>
                <w:sz w:val="18"/>
                <w:lang w:val="en-GB"/>
              </w:rPr>
              <w:t>22.6</w:t>
            </w:r>
          </w:p>
        </w:tc>
        <w:tc>
          <w:tcPr>
            <w:tcW w:w="1276" w:type="dxa"/>
            <w:vAlign w:val="center"/>
          </w:tcPr>
          <w:p w:rsidR="008203D4" w:rsidRPr="008203D4" w:rsidRDefault="008203D4" w:rsidP="008203D4">
            <w:pPr>
              <w:tabs>
                <w:tab w:val="left" w:pos="8505"/>
              </w:tabs>
              <w:jc w:val="right"/>
              <w:rPr>
                <w:rFonts w:ascii="Arial" w:hAnsi="Arial"/>
                <w:sz w:val="18"/>
                <w:lang w:val="en-US"/>
              </w:rPr>
            </w:pPr>
            <w:r w:rsidRPr="008203D4">
              <w:rPr>
                <w:rFonts w:ascii="Arial" w:hAnsi="Arial"/>
                <w:sz w:val="18"/>
                <w:lang w:val="en-US"/>
              </w:rPr>
              <w:t>64.6</w:t>
            </w:r>
          </w:p>
        </w:tc>
        <w:tc>
          <w:tcPr>
            <w:tcW w:w="1276" w:type="dxa"/>
            <w:vAlign w:val="center"/>
          </w:tcPr>
          <w:p w:rsidR="008203D4" w:rsidRPr="008203D4" w:rsidRDefault="008203D4" w:rsidP="008203D4">
            <w:pPr>
              <w:tabs>
                <w:tab w:val="left" w:pos="8505"/>
              </w:tabs>
              <w:jc w:val="right"/>
              <w:rPr>
                <w:rFonts w:ascii="Arial" w:hAnsi="Arial" w:cs="Arial"/>
                <w:sz w:val="18"/>
                <w:szCs w:val="18"/>
                <w:lang w:val="en-US"/>
              </w:rPr>
            </w:pPr>
            <w:r w:rsidRPr="008203D4">
              <w:rPr>
                <w:rFonts w:ascii="Arial" w:hAnsi="Arial" w:cs="Arial"/>
                <w:sz w:val="18"/>
                <w:szCs w:val="18"/>
                <w:lang w:val="en-US"/>
              </w:rPr>
              <w:t>(65</w:t>
            </w:r>
            <w:r>
              <w:rPr>
                <w:rFonts w:ascii="Arial" w:hAnsi="Arial" w:cs="Arial"/>
                <w:sz w:val="18"/>
                <w:szCs w:val="18"/>
                <w:lang w:val="en-US"/>
              </w:rPr>
              <w:t>.</w:t>
            </w:r>
            <w:r w:rsidRPr="008203D4">
              <w:rPr>
                <w:rFonts w:ascii="Arial" w:hAnsi="Arial" w:cs="Arial"/>
                <w:sz w:val="18"/>
                <w:szCs w:val="18"/>
                <w:lang w:val="en-US"/>
              </w:rPr>
              <w:t>2) %</w:t>
            </w:r>
          </w:p>
        </w:tc>
      </w:tr>
      <w:tr w:rsidR="008203D4" w:rsidRPr="008203D4" w:rsidTr="00B8338C">
        <w:trPr>
          <w:trHeight w:hRule="exact" w:val="284"/>
        </w:trPr>
        <w:tc>
          <w:tcPr>
            <w:tcW w:w="4077" w:type="dxa"/>
            <w:vAlign w:val="center"/>
          </w:tcPr>
          <w:p w:rsidR="008203D4" w:rsidRPr="008203D4" w:rsidRDefault="008203D4" w:rsidP="007F08F8">
            <w:pPr>
              <w:tabs>
                <w:tab w:val="left" w:pos="8505"/>
              </w:tabs>
              <w:rPr>
                <w:lang w:val="en-US"/>
              </w:rPr>
            </w:pPr>
            <w:proofErr w:type="spellStart"/>
            <w:r w:rsidRPr="007F08F8">
              <w:rPr>
                <w:rFonts w:ascii="Arial" w:hAnsi="Arial"/>
                <w:sz w:val="18"/>
                <w:lang w:val="en-GB"/>
              </w:rPr>
              <w:t>Capex</w:t>
            </w:r>
            <w:proofErr w:type="spellEnd"/>
            <w:r w:rsidRPr="007F08F8">
              <w:rPr>
                <w:rFonts w:ascii="Arial" w:hAnsi="Arial"/>
                <w:sz w:val="18"/>
                <w:lang w:val="en-GB"/>
              </w:rPr>
              <w:t xml:space="preserve"> incl. acquisitions [€ million]</w:t>
            </w:r>
          </w:p>
        </w:tc>
        <w:tc>
          <w:tcPr>
            <w:tcW w:w="1276" w:type="dxa"/>
            <w:vAlign w:val="center"/>
          </w:tcPr>
          <w:p w:rsidR="008203D4" w:rsidRDefault="008203D4" w:rsidP="008203D4">
            <w:pPr>
              <w:tabs>
                <w:tab w:val="left" w:pos="8505"/>
              </w:tabs>
              <w:jc w:val="right"/>
              <w:rPr>
                <w:rFonts w:ascii="Arial" w:hAnsi="Arial"/>
                <w:sz w:val="18"/>
                <w:szCs w:val="24"/>
                <w:lang w:val="en-GB" w:eastAsia="en-GB"/>
              </w:rPr>
            </w:pPr>
            <w:r>
              <w:rPr>
                <w:rFonts w:ascii="Arial" w:hAnsi="Arial"/>
                <w:sz w:val="18"/>
                <w:lang w:val="en-GB"/>
              </w:rPr>
              <w:t>25.5</w:t>
            </w:r>
          </w:p>
        </w:tc>
        <w:tc>
          <w:tcPr>
            <w:tcW w:w="1276" w:type="dxa"/>
            <w:vAlign w:val="center"/>
          </w:tcPr>
          <w:p w:rsidR="008203D4" w:rsidRPr="008203D4" w:rsidRDefault="008203D4" w:rsidP="008203D4">
            <w:pPr>
              <w:tabs>
                <w:tab w:val="left" w:pos="8505"/>
              </w:tabs>
              <w:jc w:val="right"/>
              <w:rPr>
                <w:rFonts w:ascii="Arial" w:hAnsi="Arial"/>
                <w:sz w:val="18"/>
                <w:lang w:val="en-US"/>
              </w:rPr>
            </w:pPr>
            <w:r w:rsidRPr="008203D4">
              <w:rPr>
                <w:rFonts w:ascii="Arial" w:hAnsi="Arial"/>
                <w:sz w:val="18"/>
                <w:lang w:val="en-US"/>
              </w:rPr>
              <w:t>55.1</w:t>
            </w:r>
          </w:p>
        </w:tc>
        <w:tc>
          <w:tcPr>
            <w:tcW w:w="1276" w:type="dxa"/>
            <w:vAlign w:val="center"/>
          </w:tcPr>
          <w:p w:rsidR="008203D4" w:rsidRPr="008203D4" w:rsidRDefault="008203D4" w:rsidP="008203D4">
            <w:pPr>
              <w:tabs>
                <w:tab w:val="left" w:pos="8505"/>
              </w:tabs>
              <w:jc w:val="right"/>
              <w:rPr>
                <w:rFonts w:ascii="Arial" w:hAnsi="Arial" w:cs="Arial"/>
                <w:sz w:val="18"/>
                <w:szCs w:val="18"/>
                <w:lang w:val="en-US"/>
              </w:rPr>
            </w:pPr>
            <w:r w:rsidRPr="008203D4">
              <w:rPr>
                <w:rFonts w:ascii="Arial" w:hAnsi="Arial" w:cs="Arial"/>
                <w:sz w:val="18"/>
                <w:szCs w:val="18"/>
                <w:lang w:val="en-US"/>
              </w:rPr>
              <w:t>(53</w:t>
            </w:r>
            <w:r>
              <w:rPr>
                <w:rFonts w:ascii="Arial" w:hAnsi="Arial" w:cs="Arial"/>
                <w:sz w:val="18"/>
                <w:szCs w:val="18"/>
                <w:lang w:val="en-US"/>
              </w:rPr>
              <w:t>.</w:t>
            </w:r>
            <w:r w:rsidRPr="008203D4">
              <w:rPr>
                <w:rFonts w:ascii="Arial" w:hAnsi="Arial" w:cs="Arial"/>
                <w:sz w:val="18"/>
                <w:szCs w:val="18"/>
                <w:lang w:val="en-US"/>
              </w:rPr>
              <w:t>7) %</w:t>
            </w:r>
          </w:p>
        </w:tc>
      </w:tr>
      <w:tr w:rsidR="008203D4" w:rsidRPr="008203D4" w:rsidTr="007F08F8">
        <w:trPr>
          <w:trHeight w:hRule="exact" w:val="284"/>
        </w:trPr>
        <w:tc>
          <w:tcPr>
            <w:tcW w:w="4077" w:type="dxa"/>
            <w:vAlign w:val="center"/>
          </w:tcPr>
          <w:p w:rsidR="008203D4" w:rsidRPr="007F08F8" w:rsidRDefault="008203D4" w:rsidP="007F08F8">
            <w:pPr>
              <w:tabs>
                <w:tab w:val="left" w:pos="8505"/>
              </w:tabs>
              <w:rPr>
                <w:rFonts w:ascii="Arial" w:hAnsi="Arial"/>
                <w:sz w:val="18"/>
                <w:lang w:val="en-GB"/>
              </w:rPr>
            </w:pPr>
            <w:r w:rsidRPr="007F08F8">
              <w:rPr>
                <w:rFonts w:ascii="Arial" w:hAnsi="Arial"/>
                <w:sz w:val="18"/>
                <w:lang w:val="en-GB"/>
              </w:rPr>
              <w:t>Equity ratio [%]</w:t>
            </w:r>
          </w:p>
        </w:tc>
        <w:tc>
          <w:tcPr>
            <w:tcW w:w="1276" w:type="dxa"/>
            <w:vAlign w:val="center"/>
          </w:tcPr>
          <w:p w:rsidR="008203D4" w:rsidRDefault="008203D4" w:rsidP="008203D4">
            <w:pPr>
              <w:tabs>
                <w:tab w:val="left" w:pos="8505"/>
              </w:tabs>
              <w:jc w:val="right"/>
              <w:rPr>
                <w:rFonts w:ascii="Arial" w:hAnsi="Arial"/>
                <w:sz w:val="18"/>
                <w:szCs w:val="24"/>
                <w:lang w:val="en-GB" w:eastAsia="en-GB"/>
              </w:rPr>
            </w:pPr>
            <w:r>
              <w:rPr>
                <w:rFonts w:ascii="Arial" w:hAnsi="Arial"/>
                <w:sz w:val="18"/>
                <w:lang w:val="en-GB"/>
              </w:rPr>
              <w:t>33.9</w:t>
            </w:r>
          </w:p>
        </w:tc>
        <w:tc>
          <w:tcPr>
            <w:tcW w:w="1276" w:type="dxa"/>
            <w:vAlign w:val="center"/>
          </w:tcPr>
          <w:p w:rsidR="008203D4" w:rsidRPr="007F08F8" w:rsidRDefault="008203D4" w:rsidP="008203D4">
            <w:pPr>
              <w:tabs>
                <w:tab w:val="left" w:pos="8505"/>
              </w:tabs>
              <w:jc w:val="right"/>
              <w:rPr>
                <w:rFonts w:ascii="Arial" w:hAnsi="Arial"/>
                <w:sz w:val="18"/>
                <w:lang w:val="en-GB"/>
              </w:rPr>
            </w:pPr>
            <w:r w:rsidRPr="007F08F8">
              <w:rPr>
                <w:rFonts w:ascii="Arial" w:hAnsi="Arial"/>
                <w:sz w:val="18"/>
                <w:lang w:val="en-GB"/>
              </w:rPr>
              <w:t>31.9</w:t>
            </w:r>
          </w:p>
        </w:tc>
        <w:tc>
          <w:tcPr>
            <w:tcW w:w="1276" w:type="dxa"/>
            <w:vAlign w:val="center"/>
          </w:tcPr>
          <w:p w:rsidR="008203D4" w:rsidRPr="008203D4" w:rsidRDefault="008203D4" w:rsidP="008203D4">
            <w:pPr>
              <w:jc w:val="right"/>
              <w:rPr>
                <w:rFonts w:ascii="Arial" w:hAnsi="Arial" w:cs="Arial"/>
                <w:sz w:val="18"/>
                <w:szCs w:val="18"/>
                <w:lang w:val="en-US"/>
              </w:rPr>
            </w:pPr>
            <w:r w:rsidRPr="008203D4">
              <w:rPr>
                <w:rFonts w:ascii="Arial" w:hAnsi="Arial" w:cs="Arial"/>
                <w:sz w:val="18"/>
                <w:szCs w:val="18"/>
                <w:lang w:val="en-US"/>
              </w:rPr>
              <w:t>--</w:t>
            </w:r>
          </w:p>
        </w:tc>
      </w:tr>
      <w:tr w:rsidR="008203D4" w:rsidRPr="008203D4" w:rsidTr="00B8338C">
        <w:trPr>
          <w:trHeight w:hRule="exact" w:val="284"/>
        </w:trPr>
        <w:tc>
          <w:tcPr>
            <w:tcW w:w="4077" w:type="dxa"/>
            <w:vAlign w:val="center"/>
          </w:tcPr>
          <w:p w:rsidR="008203D4" w:rsidRPr="008203D4" w:rsidRDefault="008203D4" w:rsidP="007F08F8">
            <w:pPr>
              <w:tabs>
                <w:tab w:val="left" w:pos="8505"/>
              </w:tabs>
              <w:rPr>
                <w:lang w:val="en-US"/>
              </w:rPr>
            </w:pPr>
            <w:r w:rsidRPr="007F08F8">
              <w:rPr>
                <w:rFonts w:ascii="Arial" w:hAnsi="Arial"/>
                <w:sz w:val="18"/>
                <w:lang w:val="en-GB"/>
              </w:rPr>
              <w:t>Earnings per share [€]</w:t>
            </w:r>
          </w:p>
        </w:tc>
        <w:tc>
          <w:tcPr>
            <w:tcW w:w="1276" w:type="dxa"/>
            <w:vAlign w:val="center"/>
          </w:tcPr>
          <w:p w:rsidR="008203D4" w:rsidRDefault="008203D4" w:rsidP="008203D4">
            <w:pPr>
              <w:tabs>
                <w:tab w:val="left" w:pos="8505"/>
              </w:tabs>
              <w:jc w:val="right"/>
              <w:rPr>
                <w:rFonts w:ascii="Arial" w:hAnsi="Arial"/>
                <w:sz w:val="18"/>
                <w:szCs w:val="24"/>
                <w:lang w:val="en-GB" w:eastAsia="en-GB"/>
              </w:rPr>
            </w:pPr>
            <w:r>
              <w:rPr>
                <w:rFonts w:ascii="Arial" w:hAnsi="Arial"/>
                <w:sz w:val="18"/>
                <w:lang w:val="en-GB"/>
              </w:rPr>
              <w:t>0.69</w:t>
            </w:r>
          </w:p>
        </w:tc>
        <w:tc>
          <w:tcPr>
            <w:tcW w:w="1276" w:type="dxa"/>
            <w:vAlign w:val="center"/>
          </w:tcPr>
          <w:p w:rsidR="008203D4" w:rsidRPr="008203D4" w:rsidRDefault="008203D4" w:rsidP="008203D4">
            <w:pPr>
              <w:tabs>
                <w:tab w:val="left" w:pos="8505"/>
              </w:tabs>
              <w:jc w:val="right"/>
              <w:rPr>
                <w:rFonts w:ascii="Arial" w:hAnsi="Arial"/>
                <w:sz w:val="18"/>
                <w:lang w:val="en-US"/>
              </w:rPr>
            </w:pPr>
            <w:r w:rsidRPr="008203D4">
              <w:rPr>
                <w:rFonts w:ascii="Arial" w:hAnsi="Arial"/>
                <w:sz w:val="18"/>
                <w:lang w:val="en-US"/>
              </w:rPr>
              <w:t>1.98</w:t>
            </w:r>
          </w:p>
        </w:tc>
        <w:tc>
          <w:tcPr>
            <w:tcW w:w="1276" w:type="dxa"/>
            <w:vAlign w:val="center"/>
          </w:tcPr>
          <w:p w:rsidR="008203D4" w:rsidRPr="008203D4" w:rsidRDefault="008203D4" w:rsidP="008203D4">
            <w:pPr>
              <w:jc w:val="right"/>
              <w:rPr>
                <w:rFonts w:ascii="Arial" w:hAnsi="Arial" w:cs="Arial"/>
                <w:sz w:val="18"/>
                <w:szCs w:val="18"/>
                <w:lang w:val="en-US"/>
              </w:rPr>
            </w:pPr>
            <w:r w:rsidRPr="008203D4">
              <w:rPr>
                <w:rFonts w:ascii="Arial" w:hAnsi="Arial" w:cs="Arial"/>
                <w:sz w:val="18"/>
                <w:szCs w:val="18"/>
                <w:lang w:val="en-US"/>
              </w:rPr>
              <w:t>(65</w:t>
            </w:r>
            <w:r>
              <w:rPr>
                <w:rFonts w:ascii="Arial" w:hAnsi="Arial" w:cs="Arial"/>
                <w:sz w:val="18"/>
                <w:szCs w:val="18"/>
                <w:lang w:val="en-US"/>
              </w:rPr>
              <w:t>.</w:t>
            </w:r>
            <w:r w:rsidRPr="008203D4">
              <w:rPr>
                <w:rFonts w:ascii="Arial" w:hAnsi="Arial" w:cs="Arial"/>
                <w:sz w:val="18"/>
                <w:szCs w:val="18"/>
                <w:lang w:val="en-US"/>
              </w:rPr>
              <w:t>2) %</w:t>
            </w:r>
          </w:p>
        </w:tc>
      </w:tr>
      <w:tr w:rsidR="008203D4" w:rsidRPr="008203D4" w:rsidTr="00B8338C">
        <w:trPr>
          <w:trHeight w:hRule="exact" w:val="284"/>
        </w:trPr>
        <w:tc>
          <w:tcPr>
            <w:tcW w:w="4077" w:type="dxa"/>
            <w:vAlign w:val="center"/>
          </w:tcPr>
          <w:p w:rsidR="008203D4" w:rsidRPr="008203D4" w:rsidRDefault="008203D4" w:rsidP="007F08F8">
            <w:pPr>
              <w:tabs>
                <w:tab w:val="left" w:pos="8505"/>
              </w:tabs>
              <w:rPr>
                <w:lang w:val="en-US"/>
              </w:rPr>
            </w:pPr>
            <w:r w:rsidRPr="007F08F8">
              <w:rPr>
                <w:rFonts w:ascii="Arial" w:hAnsi="Arial"/>
                <w:sz w:val="18"/>
                <w:lang w:val="en-GB"/>
              </w:rPr>
              <w:t>Employees [as at 31 March]</w:t>
            </w:r>
          </w:p>
        </w:tc>
        <w:tc>
          <w:tcPr>
            <w:tcW w:w="1276" w:type="dxa"/>
            <w:vAlign w:val="center"/>
          </w:tcPr>
          <w:p w:rsidR="008203D4" w:rsidRDefault="008203D4" w:rsidP="008203D4">
            <w:pPr>
              <w:tabs>
                <w:tab w:val="left" w:pos="8505"/>
              </w:tabs>
              <w:jc w:val="right"/>
              <w:rPr>
                <w:rFonts w:ascii="Arial" w:hAnsi="Arial"/>
                <w:sz w:val="18"/>
                <w:szCs w:val="24"/>
                <w:lang w:val="en-GB" w:eastAsia="en-GB"/>
              </w:rPr>
            </w:pPr>
            <w:r>
              <w:rPr>
                <w:rFonts w:ascii="Arial" w:hAnsi="Arial"/>
                <w:sz w:val="18"/>
                <w:lang w:val="en-GB"/>
              </w:rPr>
              <w:t>59,884</w:t>
            </w:r>
          </w:p>
        </w:tc>
        <w:tc>
          <w:tcPr>
            <w:tcW w:w="1276" w:type="dxa"/>
            <w:vAlign w:val="center"/>
          </w:tcPr>
          <w:p w:rsidR="008203D4" w:rsidRPr="008203D4" w:rsidRDefault="008203D4" w:rsidP="008203D4">
            <w:pPr>
              <w:tabs>
                <w:tab w:val="left" w:pos="8505"/>
              </w:tabs>
              <w:jc w:val="right"/>
              <w:rPr>
                <w:rFonts w:ascii="Arial" w:hAnsi="Arial"/>
                <w:sz w:val="18"/>
                <w:lang w:val="en-US"/>
              </w:rPr>
            </w:pPr>
            <w:r w:rsidRPr="008203D4">
              <w:rPr>
                <w:rFonts w:ascii="Arial" w:hAnsi="Arial"/>
                <w:sz w:val="18"/>
                <w:lang w:val="en-US"/>
              </w:rPr>
              <w:t>63,368</w:t>
            </w:r>
          </w:p>
        </w:tc>
        <w:tc>
          <w:tcPr>
            <w:tcW w:w="1276" w:type="dxa"/>
            <w:vAlign w:val="center"/>
          </w:tcPr>
          <w:p w:rsidR="008203D4" w:rsidRPr="008203D4" w:rsidRDefault="008203D4" w:rsidP="008203D4">
            <w:pPr>
              <w:tabs>
                <w:tab w:val="left" w:pos="8505"/>
              </w:tabs>
              <w:jc w:val="right"/>
              <w:rPr>
                <w:rFonts w:ascii="Arial" w:hAnsi="Arial" w:cs="Arial"/>
                <w:sz w:val="18"/>
                <w:szCs w:val="18"/>
                <w:lang w:val="en-US"/>
              </w:rPr>
            </w:pPr>
            <w:r w:rsidRPr="008203D4">
              <w:rPr>
                <w:rFonts w:ascii="Arial" w:hAnsi="Arial" w:cs="Arial"/>
                <w:sz w:val="18"/>
                <w:szCs w:val="18"/>
                <w:lang w:val="en-US"/>
              </w:rPr>
              <w:t>(5</w:t>
            </w:r>
            <w:r>
              <w:rPr>
                <w:rFonts w:ascii="Arial" w:hAnsi="Arial" w:cs="Arial"/>
                <w:sz w:val="18"/>
                <w:szCs w:val="18"/>
                <w:lang w:val="en-US"/>
              </w:rPr>
              <w:t>.</w:t>
            </w:r>
            <w:r w:rsidRPr="008203D4">
              <w:rPr>
                <w:rFonts w:ascii="Arial" w:hAnsi="Arial" w:cs="Arial"/>
                <w:sz w:val="18"/>
                <w:szCs w:val="18"/>
                <w:lang w:val="en-US"/>
              </w:rPr>
              <w:t>5) %</w:t>
            </w:r>
          </w:p>
        </w:tc>
      </w:tr>
    </w:tbl>
    <w:p w:rsidR="007F08F8" w:rsidRPr="007F08F8" w:rsidRDefault="007F08F8" w:rsidP="000209BC">
      <w:pPr>
        <w:autoSpaceDE w:val="0"/>
        <w:autoSpaceDN w:val="0"/>
        <w:adjustRightInd w:val="0"/>
        <w:spacing w:line="240" w:lineRule="auto"/>
        <w:ind w:right="1852"/>
        <w:rPr>
          <w:rFonts w:ascii="Arial" w:hAnsi="Arial"/>
          <w:lang w:val="en-US"/>
        </w:rPr>
      </w:pPr>
      <w:r>
        <w:rPr>
          <w:rFonts w:ascii="Arial" w:hAnsi="Arial"/>
          <w:i/>
          <w:sz w:val="16"/>
          <w:highlight w:val="green"/>
          <w:lang w:val="en-GB"/>
        </w:rPr>
        <w:br/>
      </w:r>
      <w:r w:rsidR="008203D4">
        <w:rPr>
          <w:rFonts w:ascii="Arial" w:hAnsi="Arial"/>
          <w:i/>
          <w:sz w:val="16"/>
          <w:lang w:val="en-GB"/>
        </w:rPr>
        <w:t>*</w:t>
      </w:r>
      <w:r w:rsidR="000209BC">
        <w:rPr>
          <w:rFonts w:ascii="Arial" w:hAnsi="Arial"/>
          <w:i/>
          <w:sz w:val="16"/>
          <w:lang w:val="en-GB"/>
        </w:rPr>
        <w:t xml:space="preserve"> Adjustment of various pre-year amounts due to amendment of IAS 19</w:t>
      </w:r>
      <w:r w:rsidR="008203D4">
        <w:rPr>
          <w:rFonts w:ascii="Arial" w:hAnsi="Arial"/>
          <w:i/>
          <w:sz w:val="16"/>
          <w:lang w:val="en-GB"/>
        </w:rPr>
        <w:br/>
        <w:t>*</w:t>
      </w:r>
      <w:r w:rsidRPr="008D4891">
        <w:rPr>
          <w:rFonts w:ascii="Arial" w:hAnsi="Arial"/>
          <w:i/>
          <w:sz w:val="16"/>
          <w:lang w:val="en-GB"/>
        </w:rPr>
        <w:t xml:space="preserve">* Earnings adjusted for the impact of revaluation as part of allocating the prices of major acquisitions, restructuring, impairment of non-current assets, gains on business disposals and </w:t>
      </w:r>
      <w:r w:rsidR="000209BC">
        <w:rPr>
          <w:rFonts w:ascii="Arial" w:hAnsi="Arial"/>
          <w:i/>
          <w:sz w:val="16"/>
          <w:lang w:val="en-GB"/>
        </w:rPr>
        <w:t xml:space="preserve">on business </w:t>
      </w:r>
      <w:r w:rsidRPr="008D4891">
        <w:rPr>
          <w:rFonts w:ascii="Arial" w:hAnsi="Arial"/>
          <w:i/>
          <w:sz w:val="16"/>
          <w:lang w:val="en-GB"/>
        </w:rPr>
        <w:t>combinations including related derivatives</w:t>
      </w:r>
      <w:r w:rsidR="000209BC">
        <w:rPr>
          <w:rFonts w:ascii="Arial" w:hAnsi="Arial"/>
          <w:i/>
          <w:sz w:val="16"/>
          <w:lang w:val="en-US"/>
        </w:rPr>
        <w:t>.</w:t>
      </w:r>
    </w:p>
    <w:p w:rsidR="0098775F" w:rsidRDefault="0098775F" w:rsidP="00B8338C">
      <w:pPr>
        <w:spacing w:before="240" w:line="240" w:lineRule="auto"/>
        <w:ind w:right="1854"/>
        <w:rPr>
          <w:rFonts w:ascii="Arial" w:hAnsi="Arial"/>
          <w:i/>
          <w:sz w:val="21"/>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009D4512" w:rsidRPr="00D92309">
        <w:rPr>
          <w:rFonts w:ascii="Arial" w:hAnsi="Arial"/>
          <w:i/>
          <w:sz w:val="21"/>
          <w:lang w:val="en-GB"/>
        </w:rPr>
        <w:t>Related i</w:t>
      </w:r>
      <w:r w:rsidRPr="00C85271">
        <w:rPr>
          <w:rFonts w:ascii="Arial" w:hAnsi="Arial"/>
          <w:i/>
          <w:sz w:val="21"/>
          <w:lang w:val="en-GB"/>
        </w:rPr>
        <w:t>llustration</w:t>
      </w:r>
      <w:r w:rsidR="00AC5497" w:rsidRPr="00C85271">
        <w:rPr>
          <w:rFonts w:ascii="Arial" w:hAnsi="Arial"/>
          <w:i/>
          <w:sz w:val="21"/>
          <w:lang w:val="en-GB"/>
        </w:rPr>
        <w:t xml:space="preserve"> material</w:t>
      </w:r>
      <w:r w:rsidRPr="00C85271">
        <w:rPr>
          <w:rFonts w:ascii="Arial" w:hAnsi="Arial"/>
          <w:i/>
          <w:sz w:val="21"/>
          <w:lang w:val="en-GB"/>
        </w:rPr>
        <w:t xml:space="preserve"> </w:t>
      </w:r>
      <w:r w:rsidR="00AC5497" w:rsidRPr="00C85271">
        <w:rPr>
          <w:rFonts w:ascii="Arial" w:hAnsi="Arial"/>
          <w:i/>
          <w:sz w:val="21"/>
          <w:lang w:val="en-GB"/>
        </w:rPr>
        <w:t xml:space="preserve">can be downloaded from </w:t>
      </w:r>
      <w:hyperlink r:id="rId8" w:history="1">
        <w:r w:rsidRPr="00C85271">
          <w:rPr>
            <w:rStyle w:val="Hyperlink"/>
            <w:rFonts w:ascii="Arial" w:hAnsi="Arial"/>
            <w:i/>
            <w:sz w:val="21"/>
            <w:lang w:val="en-GB"/>
          </w:rPr>
          <w:t>www.media.leoni.com</w:t>
        </w:r>
      </w:hyperlink>
      <w:r w:rsidRPr="00C85271">
        <w:rPr>
          <w:rFonts w:ascii="Arial" w:hAnsi="Arial"/>
          <w:i/>
          <w:sz w:val="21"/>
          <w:lang w:val="en-GB"/>
        </w:rPr>
        <w:t xml:space="preserve"> </w:t>
      </w:r>
      <w:r w:rsidR="00AC5497" w:rsidRPr="00C85271">
        <w:rPr>
          <w:rFonts w:ascii="Arial" w:hAnsi="Arial"/>
          <w:i/>
          <w:sz w:val="21"/>
          <w:lang w:val="en-GB"/>
        </w:rPr>
        <w:t xml:space="preserve">next to </w:t>
      </w:r>
      <w:r w:rsidRPr="00C85271">
        <w:rPr>
          <w:rFonts w:ascii="Arial" w:hAnsi="Arial"/>
          <w:i/>
          <w:sz w:val="21"/>
          <w:lang w:val="en-GB"/>
        </w:rPr>
        <w:t xml:space="preserve">this release </w:t>
      </w:r>
      <w:r w:rsidR="00E26F48">
        <w:rPr>
          <w:rFonts w:ascii="Arial" w:hAnsi="Arial"/>
          <w:i/>
          <w:sz w:val="21"/>
          <w:lang w:val="en-GB"/>
        </w:rPr>
        <w:br/>
      </w:r>
      <w:r w:rsidR="00E26F48" w:rsidRPr="002C049D">
        <w:rPr>
          <w:rFonts w:ascii="Arial" w:hAnsi="Arial"/>
          <w:sz w:val="36"/>
          <w:szCs w:val="36"/>
          <w:lang w:val="en-GB"/>
        </w:rPr>
        <w:sym w:font="Wingdings" w:char="F046"/>
      </w:r>
      <w:r w:rsidR="00E26F48" w:rsidRPr="002C049D">
        <w:rPr>
          <w:rFonts w:ascii="Arial" w:hAnsi="Arial"/>
          <w:i/>
          <w:sz w:val="20"/>
          <w:lang w:val="en-GB"/>
        </w:rPr>
        <w:t xml:space="preserve"> </w:t>
      </w:r>
      <w:proofErr w:type="gramStart"/>
      <w:r w:rsidR="00E26F48" w:rsidRPr="002C049D">
        <w:rPr>
          <w:rFonts w:ascii="Arial" w:hAnsi="Arial"/>
          <w:i/>
          <w:sz w:val="21"/>
          <w:lang w:val="en-GB"/>
        </w:rPr>
        <w:t>The</w:t>
      </w:r>
      <w:proofErr w:type="gramEnd"/>
      <w:r w:rsidR="00E26F48" w:rsidRPr="002C049D">
        <w:rPr>
          <w:rFonts w:ascii="Arial" w:hAnsi="Arial"/>
          <w:i/>
          <w:sz w:val="21"/>
          <w:lang w:val="en-GB"/>
        </w:rPr>
        <w:t xml:space="preserve"> complete </w:t>
      </w:r>
      <w:r w:rsidR="007F08F8">
        <w:rPr>
          <w:rFonts w:ascii="Arial" w:hAnsi="Arial"/>
          <w:i/>
          <w:sz w:val="21"/>
          <w:lang w:val="en-GB"/>
        </w:rPr>
        <w:t>quarterly</w:t>
      </w:r>
      <w:r w:rsidR="00B8338C">
        <w:rPr>
          <w:rFonts w:ascii="Arial" w:hAnsi="Arial"/>
          <w:i/>
          <w:sz w:val="21"/>
          <w:lang w:val="en-GB"/>
        </w:rPr>
        <w:t xml:space="preserve"> </w:t>
      </w:r>
      <w:r w:rsidR="00E26F48" w:rsidRPr="002C049D">
        <w:rPr>
          <w:rFonts w:ascii="Arial" w:hAnsi="Arial"/>
          <w:i/>
          <w:sz w:val="21"/>
          <w:lang w:val="en-GB"/>
        </w:rPr>
        <w:t xml:space="preserve">report can be </w:t>
      </w:r>
      <w:r w:rsidR="00082230">
        <w:rPr>
          <w:rFonts w:ascii="Arial" w:hAnsi="Arial"/>
          <w:i/>
          <w:sz w:val="21"/>
          <w:lang w:val="en-GB"/>
        </w:rPr>
        <w:t>foun</w:t>
      </w:r>
      <w:r w:rsidR="00E26F48" w:rsidRPr="002C049D">
        <w:rPr>
          <w:rFonts w:ascii="Arial" w:hAnsi="Arial"/>
          <w:i/>
          <w:sz w:val="21"/>
          <w:lang w:val="en-GB"/>
        </w:rPr>
        <w:t>d</w:t>
      </w:r>
      <w:r w:rsidR="00082230">
        <w:rPr>
          <w:rFonts w:ascii="Arial" w:hAnsi="Arial"/>
          <w:i/>
          <w:sz w:val="21"/>
          <w:lang w:val="en-GB"/>
        </w:rPr>
        <w:t xml:space="preserve"> at </w:t>
      </w:r>
      <w:hyperlink r:id="rId9" w:history="1">
        <w:r w:rsidR="000209BC" w:rsidRPr="00805A5F">
          <w:rPr>
            <w:rStyle w:val="Hyperlink"/>
            <w:rFonts w:ascii="Arial" w:hAnsi="Arial"/>
            <w:i/>
            <w:sz w:val="21"/>
            <w:lang w:val="en-GB"/>
          </w:rPr>
          <w:t>www.leoni.com/?q1-2013&amp;L=1</w:t>
        </w:r>
      </w:hyperlink>
    </w:p>
    <w:p w:rsidR="0098775F" w:rsidRPr="00C85271" w:rsidRDefault="0098775F">
      <w:pPr>
        <w:pStyle w:val="MMKurzprofilberschrift"/>
        <w:rPr>
          <w:rFonts w:cs="Times New Roman"/>
          <w:szCs w:val="24"/>
          <w:lang w:val="en-GB"/>
        </w:rPr>
      </w:pPr>
      <w:r w:rsidRPr="00C85271">
        <w:rPr>
          <w:rFonts w:cs="Times New Roman"/>
          <w:szCs w:val="24"/>
          <w:lang w:val="en-GB"/>
        </w:rPr>
        <w:t>About the Leoni Group</w:t>
      </w:r>
    </w:p>
    <w:p w:rsidR="004044A6" w:rsidRDefault="00AC5497" w:rsidP="004044A6">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sidR="008F37D5">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0209BC">
        <w:rPr>
          <w:lang w:val="en-GB"/>
        </w:rPr>
        <w:t>about</w:t>
      </w:r>
      <w:r w:rsidR="00725A31">
        <w:rPr>
          <w:lang w:val="en-GB"/>
        </w:rPr>
        <w:t xml:space="preserve"> 6</w:t>
      </w:r>
      <w:r w:rsidR="000209BC">
        <w:rPr>
          <w:lang w:val="en-GB"/>
        </w:rPr>
        <w:t>0</w:t>
      </w:r>
      <w:r w:rsidRPr="00C85271">
        <w:rPr>
          <w:lang w:val="en-GB"/>
        </w:rPr>
        <w:t>,000 people in 3</w:t>
      </w:r>
      <w:r w:rsidR="000209BC">
        <w:rPr>
          <w:lang w:val="en-GB"/>
        </w:rPr>
        <w:t>2</w:t>
      </w:r>
      <w:r w:rsidRPr="00C85271">
        <w:rPr>
          <w:lang w:val="en-GB"/>
        </w:rPr>
        <w:t xml:space="preserve"> countries and generated consolidated sales of </w:t>
      </w:r>
      <w:r w:rsidRPr="00B572CD">
        <w:rPr>
          <w:lang w:val="en-US"/>
        </w:rPr>
        <w:t xml:space="preserve">EUR </w:t>
      </w:r>
      <w:r w:rsidR="00B572CD" w:rsidRPr="00B572CD">
        <w:rPr>
          <w:lang w:val="en-US"/>
        </w:rPr>
        <w:t>3.</w:t>
      </w:r>
      <w:r w:rsidR="000209BC">
        <w:rPr>
          <w:lang w:val="en-US"/>
        </w:rPr>
        <w:t>81</w:t>
      </w:r>
      <w:r w:rsidRPr="00B572CD">
        <w:rPr>
          <w:lang w:val="en-US"/>
        </w:rPr>
        <w:t xml:space="preserve"> billion in 201</w:t>
      </w:r>
      <w:r w:rsidR="000209BC">
        <w:rPr>
          <w:lang w:val="en-US"/>
        </w:rPr>
        <w:t>2</w:t>
      </w:r>
      <w:r w:rsidR="008F37D5">
        <w:rPr>
          <w:lang w:val="en-US"/>
        </w:rPr>
        <w:t>.</w:t>
      </w:r>
    </w:p>
    <w:p w:rsidR="004044A6" w:rsidRDefault="004044A6" w:rsidP="004044A6">
      <w:pPr>
        <w:pStyle w:val="MMKurzprofil"/>
        <w:rPr>
          <w:lang w:val="en-GB"/>
        </w:rPr>
      </w:pPr>
    </w:p>
    <w:p w:rsidR="004044A6" w:rsidRPr="004044A6" w:rsidRDefault="00F55CB1" w:rsidP="004044A6">
      <w:pPr>
        <w:pStyle w:val="MMKurzprofil"/>
        <w:rPr>
          <w:lang w:val="en-US"/>
        </w:rPr>
      </w:pPr>
      <w:hyperlink r:id="rId10" w:tgtFrame="_blank" w:history="1">
        <w:r w:rsidR="003E6B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1" o:title="facebook"/>
            </v:shape>
          </w:pict>
        </w:r>
      </w:hyperlink>
      <w:r w:rsidR="004044A6" w:rsidRPr="004044A6">
        <w:rPr>
          <w:lang w:val="en-US"/>
        </w:rPr>
        <w:t xml:space="preserve"> </w:t>
      </w:r>
      <w:hyperlink r:id="rId12" w:tgtFrame="_blank" w:history="1">
        <w:r w:rsidR="003E6B83">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3" o:title="xing"/>
            </v:shape>
          </w:pict>
        </w:r>
      </w:hyperlink>
    </w:p>
    <w:p w:rsidR="0098775F" w:rsidRPr="00C85271" w:rsidRDefault="000209BC">
      <w:pPr>
        <w:pStyle w:val="MMKurzprofilberschrift"/>
        <w:rPr>
          <w:rFonts w:cs="Times New Roman"/>
          <w:szCs w:val="24"/>
          <w:lang w:val="en-GB"/>
        </w:rPr>
      </w:pPr>
      <w:r>
        <w:rPr>
          <w:rFonts w:cs="Times New Roman"/>
          <w:szCs w:val="24"/>
          <w:lang w:val="en-GB"/>
        </w:rPr>
        <w:lastRenderedPageBreak/>
        <w:br/>
      </w:r>
      <w:bookmarkStart w:id="0" w:name="_GoBack"/>
      <w:bookmarkEnd w:id="0"/>
      <w:r w:rsidR="0098775F" w:rsidRPr="00C85271">
        <w:rPr>
          <w:rFonts w:cs="Times New Roman"/>
          <w:szCs w:val="24"/>
          <w:lang w:val="en-GB"/>
        </w:rPr>
        <w:t xml:space="preserve">Contact </w:t>
      </w:r>
      <w:r w:rsidR="00AC5497" w:rsidRPr="00C85271">
        <w:rPr>
          <w:rFonts w:cs="Times New Roman"/>
          <w:szCs w:val="24"/>
          <w:lang w:val="en-GB"/>
        </w:rPr>
        <w:t xml:space="preserve">person </w:t>
      </w:r>
      <w:r w:rsidR="0098775F"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4" w:history="1">
        <w:r w:rsidRPr="00C85271">
          <w:rPr>
            <w:rStyle w:val="Hyperlink"/>
            <w:rFonts w:cs="Times New Roman"/>
            <w:szCs w:val="24"/>
            <w:lang w:val="en-GB"/>
          </w:rPr>
          <w:t>presse@leoni.com</w:t>
        </w:r>
      </w:hyperlink>
    </w:p>
    <w:sectPr w:rsidR="0098775F" w:rsidSect="00452CF6">
      <w:headerReference w:type="default" r:id="rId15"/>
      <w:footerReference w:type="default" r:id="rId16"/>
      <w:headerReference w:type="first" r:id="rId17"/>
      <w:footerReference w:type="first" r:id="rId18"/>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D4" w:rsidRDefault="008203D4">
      <w:pPr>
        <w:rPr>
          <w:sz w:val="16"/>
        </w:rPr>
      </w:pPr>
      <w:r>
        <w:separator/>
      </w:r>
    </w:p>
  </w:endnote>
  <w:endnote w:type="continuationSeparator" w:id="0">
    <w:p w:rsidR="008203D4" w:rsidRDefault="008203D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002936">
      <w:rPr>
        <w:rStyle w:val="Seitenzahl"/>
        <w:rFonts w:ascii="Arial" w:hAnsi="Arial"/>
        <w:i/>
        <w:noProof/>
        <w:sz w:val="16"/>
      </w:rPr>
      <w:t>4</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002936">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8203D4" w:rsidRDefault="008203D4">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203D4" w:rsidRDefault="008203D4">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203D4" w:rsidRDefault="008203D4">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203D4" w:rsidRDefault="008203D4">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203D4" w:rsidRDefault="008203D4">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203D4" w:rsidRDefault="008203D4">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D4" w:rsidRDefault="008203D4">
      <w:pPr>
        <w:rPr>
          <w:sz w:val="16"/>
        </w:rPr>
      </w:pPr>
      <w:r>
        <w:separator/>
      </w:r>
    </w:p>
  </w:footnote>
  <w:footnote w:type="continuationSeparator" w:id="0">
    <w:p w:rsidR="008203D4" w:rsidRDefault="008203D4">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Pr="00F17738" w:rsidRDefault="008203D4" w:rsidP="00F65C50">
    <w:pPr>
      <w:pStyle w:val="Kopfzeile"/>
      <w:tabs>
        <w:tab w:val="clear" w:pos="9072"/>
        <w:tab w:val="right" w:pos="9639"/>
      </w:tabs>
      <w:spacing w:after="0" w:line="240" w:lineRule="auto"/>
      <w:rPr>
        <w:rFonts w:ascii="Verdana" w:hAnsi="Verdana"/>
        <w:sz w:val="20"/>
      </w:rPr>
    </w:pPr>
  </w:p>
  <w:p w:rsidR="008203D4" w:rsidRDefault="008203D4" w:rsidP="00F65C50">
    <w:pPr>
      <w:pStyle w:val="Kopfzeile"/>
      <w:tabs>
        <w:tab w:val="clear" w:pos="9072"/>
        <w:tab w:val="right" w:pos="9639"/>
      </w:tabs>
      <w:spacing w:after="0" w:line="240" w:lineRule="auto"/>
      <w:rPr>
        <w:rFonts w:ascii="Verdana" w:hAnsi="Verdana"/>
        <w:sz w:val="20"/>
      </w:rPr>
    </w:pPr>
  </w:p>
  <w:p w:rsidR="008203D4" w:rsidRPr="00F17738" w:rsidRDefault="008203D4"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8203D4" w:rsidRDefault="008203D4" w:rsidP="00F65C50">
    <w:pPr>
      <w:spacing w:before="60" w:after="0" w:line="360" w:lineRule="auto"/>
      <w:ind w:right="1429"/>
      <w:rPr>
        <w:rFonts w:ascii="Arial" w:hAnsi="Arial" w:cs="Arial"/>
        <w:b/>
        <w:sz w:val="20"/>
        <w:szCs w:val="20"/>
      </w:rPr>
    </w:pPr>
  </w:p>
  <w:p w:rsidR="008203D4" w:rsidRDefault="008203D4"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203D4" w:rsidRDefault="008203D4">
    <w:pPr>
      <w:pStyle w:val="Kopfzeile"/>
      <w:tabs>
        <w:tab w:val="clear" w:pos="9072"/>
        <w:tab w:val="right" w:pos="9639"/>
      </w:tabs>
      <w:rPr>
        <w:rFonts w:ascii="Verdana" w:hAnsi="Verdana"/>
        <w:sz w:val="20"/>
      </w:rPr>
    </w:pPr>
  </w:p>
  <w:p w:rsidR="008203D4" w:rsidRDefault="008203D4">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2936"/>
    <w:rsid w:val="000079E4"/>
    <w:rsid w:val="00013A64"/>
    <w:rsid w:val="000209BC"/>
    <w:rsid w:val="0002408F"/>
    <w:rsid w:val="000255DA"/>
    <w:rsid w:val="00033C4D"/>
    <w:rsid w:val="00041290"/>
    <w:rsid w:val="0004329A"/>
    <w:rsid w:val="000453F9"/>
    <w:rsid w:val="00082230"/>
    <w:rsid w:val="000A0822"/>
    <w:rsid w:val="000A32BC"/>
    <w:rsid w:val="000A7B89"/>
    <w:rsid w:val="000B3BF8"/>
    <w:rsid w:val="000B5865"/>
    <w:rsid w:val="000C02B1"/>
    <w:rsid w:val="000D0C90"/>
    <w:rsid w:val="000E6946"/>
    <w:rsid w:val="000F1C62"/>
    <w:rsid w:val="000F2DC6"/>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3301E"/>
    <w:rsid w:val="00240866"/>
    <w:rsid w:val="00245C9E"/>
    <w:rsid w:val="00247B9B"/>
    <w:rsid w:val="00260A78"/>
    <w:rsid w:val="002630D8"/>
    <w:rsid w:val="002639C8"/>
    <w:rsid w:val="00264325"/>
    <w:rsid w:val="002956A9"/>
    <w:rsid w:val="0029603C"/>
    <w:rsid w:val="002B7AC7"/>
    <w:rsid w:val="002B7BFA"/>
    <w:rsid w:val="002C118D"/>
    <w:rsid w:val="002E1F50"/>
    <w:rsid w:val="003118F1"/>
    <w:rsid w:val="00361CF2"/>
    <w:rsid w:val="00362050"/>
    <w:rsid w:val="00364DCD"/>
    <w:rsid w:val="00382198"/>
    <w:rsid w:val="00397AC4"/>
    <w:rsid w:val="003A240E"/>
    <w:rsid w:val="003B0FC5"/>
    <w:rsid w:val="003C6AAE"/>
    <w:rsid w:val="003D2799"/>
    <w:rsid w:val="003E43B4"/>
    <w:rsid w:val="003E4B96"/>
    <w:rsid w:val="003E6B83"/>
    <w:rsid w:val="00404468"/>
    <w:rsid w:val="004044A6"/>
    <w:rsid w:val="004121DA"/>
    <w:rsid w:val="00424182"/>
    <w:rsid w:val="00432245"/>
    <w:rsid w:val="00441963"/>
    <w:rsid w:val="00452CF6"/>
    <w:rsid w:val="004547BF"/>
    <w:rsid w:val="00473340"/>
    <w:rsid w:val="00473E7D"/>
    <w:rsid w:val="004746ED"/>
    <w:rsid w:val="004822A8"/>
    <w:rsid w:val="004826F0"/>
    <w:rsid w:val="00492E67"/>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F46"/>
    <w:rsid w:val="00533F65"/>
    <w:rsid w:val="00535C46"/>
    <w:rsid w:val="00543C34"/>
    <w:rsid w:val="005448AB"/>
    <w:rsid w:val="005A6BB8"/>
    <w:rsid w:val="005C5351"/>
    <w:rsid w:val="005D4C87"/>
    <w:rsid w:val="005D4FF6"/>
    <w:rsid w:val="005D550E"/>
    <w:rsid w:val="00600E53"/>
    <w:rsid w:val="00602FD7"/>
    <w:rsid w:val="00607852"/>
    <w:rsid w:val="00614A49"/>
    <w:rsid w:val="0061798D"/>
    <w:rsid w:val="00631FB1"/>
    <w:rsid w:val="006457CF"/>
    <w:rsid w:val="00654989"/>
    <w:rsid w:val="00663C2A"/>
    <w:rsid w:val="00683EF3"/>
    <w:rsid w:val="006A76CA"/>
    <w:rsid w:val="006C5546"/>
    <w:rsid w:val="006C5962"/>
    <w:rsid w:val="006D36F9"/>
    <w:rsid w:val="006E0029"/>
    <w:rsid w:val="006E7A1F"/>
    <w:rsid w:val="006F435B"/>
    <w:rsid w:val="006F4393"/>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08F8"/>
    <w:rsid w:val="007F3212"/>
    <w:rsid w:val="007F68CF"/>
    <w:rsid w:val="00803041"/>
    <w:rsid w:val="008045E1"/>
    <w:rsid w:val="008203D4"/>
    <w:rsid w:val="00821BA4"/>
    <w:rsid w:val="00827B83"/>
    <w:rsid w:val="0083522C"/>
    <w:rsid w:val="008446CD"/>
    <w:rsid w:val="008920B0"/>
    <w:rsid w:val="008A0985"/>
    <w:rsid w:val="008A1C0B"/>
    <w:rsid w:val="008A3A81"/>
    <w:rsid w:val="008B6597"/>
    <w:rsid w:val="008D26BA"/>
    <w:rsid w:val="008D4891"/>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E06E1"/>
    <w:rsid w:val="009F6805"/>
    <w:rsid w:val="009F752B"/>
    <w:rsid w:val="00A12538"/>
    <w:rsid w:val="00A23768"/>
    <w:rsid w:val="00A27173"/>
    <w:rsid w:val="00A34AA7"/>
    <w:rsid w:val="00A54DDA"/>
    <w:rsid w:val="00A6060D"/>
    <w:rsid w:val="00A66992"/>
    <w:rsid w:val="00A708D7"/>
    <w:rsid w:val="00A7468A"/>
    <w:rsid w:val="00A76415"/>
    <w:rsid w:val="00AA16D7"/>
    <w:rsid w:val="00AA2526"/>
    <w:rsid w:val="00AA2A8D"/>
    <w:rsid w:val="00AB4893"/>
    <w:rsid w:val="00AC2AE0"/>
    <w:rsid w:val="00AC5497"/>
    <w:rsid w:val="00AC7A23"/>
    <w:rsid w:val="00AD3E26"/>
    <w:rsid w:val="00AD4A54"/>
    <w:rsid w:val="00AE31C1"/>
    <w:rsid w:val="00AE43B7"/>
    <w:rsid w:val="00AF0A61"/>
    <w:rsid w:val="00B1340F"/>
    <w:rsid w:val="00B139E4"/>
    <w:rsid w:val="00B24E61"/>
    <w:rsid w:val="00B3540F"/>
    <w:rsid w:val="00B3611C"/>
    <w:rsid w:val="00B43D1D"/>
    <w:rsid w:val="00B44D5B"/>
    <w:rsid w:val="00B45E40"/>
    <w:rsid w:val="00B466F2"/>
    <w:rsid w:val="00B572CD"/>
    <w:rsid w:val="00B572D2"/>
    <w:rsid w:val="00B67561"/>
    <w:rsid w:val="00B70B1A"/>
    <w:rsid w:val="00B71C6F"/>
    <w:rsid w:val="00B8338C"/>
    <w:rsid w:val="00B86027"/>
    <w:rsid w:val="00B96DE2"/>
    <w:rsid w:val="00BA0052"/>
    <w:rsid w:val="00BB1A73"/>
    <w:rsid w:val="00BB4148"/>
    <w:rsid w:val="00BB69CA"/>
    <w:rsid w:val="00BC37D4"/>
    <w:rsid w:val="00BC5FE7"/>
    <w:rsid w:val="00BD135F"/>
    <w:rsid w:val="00BD22AC"/>
    <w:rsid w:val="00BD2643"/>
    <w:rsid w:val="00BD26C1"/>
    <w:rsid w:val="00BD4058"/>
    <w:rsid w:val="00BD6804"/>
    <w:rsid w:val="00BF5681"/>
    <w:rsid w:val="00BF7DEC"/>
    <w:rsid w:val="00C03D20"/>
    <w:rsid w:val="00C07BB6"/>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513"/>
    <w:rsid w:val="00D738A7"/>
    <w:rsid w:val="00D74838"/>
    <w:rsid w:val="00D80DBE"/>
    <w:rsid w:val="00D903E2"/>
    <w:rsid w:val="00D90D76"/>
    <w:rsid w:val="00D92309"/>
    <w:rsid w:val="00DA49A1"/>
    <w:rsid w:val="00DB2E93"/>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6520"/>
    <w:rsid w:val="00ED1040"/>
    <w:rsid w:val="00ED47BD"/>
    <w:rsid w:val="00EE3329"/>
    <w:rsid w:val="00EE7541"/>
    <w:rsid w:val="00EF2DA5"/>
    <w:rsid w:val="00F21EA0"/>
    <w:rsid w:val="00F37865"/>
    <w:rsid w:val="00F55CB1"/>
    <w:rsid w:val="00F65C50"/>
    <w:rsid w:val="00F67138"/>
    <w:rsid w:val="00F737A1"/>
    <w:rsid w:val="00F73C92"/>
    <w:rsid w:val="00F77219"/>
    <w:rsid w:val="00F80249"/>
    <w:rsid w:val="00F851F7"/>
    <w:rsid w:val="00F90257"/>
    <w:rsid w:val="00F91FB0"/>
    <w:rsid w:val="00F955C9"/>
    <w:rsid w:val="00FA0E1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uiPriority w:val="99"/>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uiPriority w:val="99"/>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uiPriority w:val="99"/>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uiPriority w:val="99"/>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oni.com/?q1-2013&amp;L=1"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5621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6501</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4</cp:revision>
  <cp:lastPrinted>2013-05-13T09:45:00Z</cp:lastPrinted>
  <dcterms:created xsi:type="dcterms:W3CDTF">2013-05-13T08:17:00Z</dcterms:created>
  <dcterms:modified xsi:type="dcterms:W3CDTF">2013-05-13T09:46:00Z</dcterms:modified>
</cp:coreProperties>
</file>