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D9" w:rsidRPr="007C56C6" w:rsidRDefault="00E549D9">
      <w:pPr>
        <w:pStyle w:val="MMU1"/>
        <w:rPr>
          <w:lang w:val="en-US" w:eastAsia="de-DE"/>
        </w:rPr>
      </w:pPr>
      <w:r w:rsidRPr="007C56C6">
        <w:rPr>
          <w:lang w:val="en-US" w:eastAsia="de-DE"/>
        </w:rPr>
        <w:t xml:space="preserve">Leoni enters next phase of growth   </w:t>
      </w:r>
    </w:p>
    <w:p w:rsidR="00E549D9" w:rsidRPr="007C56C6" w:rsidRDefault="00E549D9">
      <w:pPr>
        <w:pStyle w:val="MMU2"/>
        <w:rPr>
          <w:lang w:val="en-US" w:eastAsia="de-DE"/>
        </w:rPr>
      </w:pPr>
      <w:r w:rsidRPr="007C56C6">
        <w:rPr>
          <w:lang w:val="en-US" w:eastAsia="de-DE"/>
        </w:rPr>
        <w:t>2013: a transition year solidly completed and used to invest in the future</w:t>
      </w:r>
    </w:p>
    <w:p w:rsidR="00E549D9" w:rsidRPr="007C56C6" w:rsidRDefault="00E549D9">
      <w:pPr>
        <w:pStyle w:val="MMVorspann"/>
        <w:rPr>
          <w:lang w:val="en-US" w:eastAsia="de-DE"/>
        </w:rPr>
      </w:pPr>
      <w:r w:rsidRPr="00F453B9">
        <w:rPr>
          <w:lang w:val="en-US" w:eastAsia="de-DE"/>
        </w:rPr>
        <w:t xml:space="preserve">Nuremberg, 25 March 2014 – As forecast, fiscal 2013 was a year of transition for Leoni, the leading provider of cables and cable systems to the automotive sector and other industries. The Company laid the foundation for its next growth phase during the year under report. Consolidated sales reached a new high of EUR 3.92 billion (2012: EUR 3.81 billion). The sustained heavy demand from the global automotive industry was the reason for these above-budget sales revenues. </w:t>
      </w:r>
      <w:r w:rsidRPr="007C56C6">
        <w:rPr>
          <w:lang w:val="en-US" w:eastAsia="de-DE"/>
        </w:rPr>
        <w:t>At EUR 163.1 million earnings before interest and taxes (EBIT) were, as projected, significantly below the previous year’s amount of EUR 237.9 million, which benefited from the disposal of subsidiary Leoni Studer Hard AG. Among the factors also adversely affecting earnings in fiscal 2013 were restructuring expenses of EUR 21 million, substantial pre-production spending on 16 new wiring system projects as well as the lack of contributions to profit due to the fact that industrial cable plants were not operating at capacity. Consolidated net income amounted to EUR 105.9 million (2012: EUR 157.0 million). The Company intends to pay out a dividend of EUR 1.00 (previous year: EUR 1.50).</w:t>
      </w:r>
    </w:p>
    <w:p w:rsidR="00E549D9" w:rsidRPr="007C56C6" w:rsidRDefault="00E549D9">
      <w:pPr>
        <w:pStyle w:val="MMFlietext"/>
        <w:rPr>
          <w:lang w:val="en-US" w:eastAsia="de-DE"/>
        </w:rPr>
      </w:pPr>
      <w:r w:rsidRPr="00D63C74">
        <w:rPr>
          <w:lang w:val="en-US" w:eastAsia="de-DE"/>
        </w:rPr>
        <w:t xml:space="preserve">“Leoni continued to develop its long-term strategy and applied a large number of forward-looking measures in </w:t>
      </w:r>
      <w:r w:rsidRPr="00D63C74">
        <w:rPr>
          <w:w w:val="90"/>
          <w:lang w:val="en-US" w:eastAsia="de-DE"/>
        </w:rPr>
        <w:t>2013</w:t>
      </w:r>
      <w:r w:rsidRPr="00D63C74">
        <w:rPr>
          <w:lang w:val="en-US" w:eastAsia="de-DE"/>
        </w:rPr>
        <w:t xml:space="preserve">," said </w:t>
      </w:r>
      <w:proofErr w:type="spellStart"/>
      <w:r w:rsidRPr="00D63C74">
        <w:rPr>
          <w:lang w:val="en-US" w:eastAsia="de-DE"/>
        </w:rPr>
        <w:t>Dr</w:t>
      </w:r>
      <w:proofErr w:type="spellEnd"/>
      <w:r w:rsidRPr="00D63C74">
        <w:rPr>
          <w:lang w:val="en-US" w:eastAsia="de-DE"/>
        </w:rPr>
        <w:t xml:space="preserve"> Klaus Probst, President and </w:t>
      </w:r>
      <w:r w:rsidRPr="00D63C74">
        <w:rPr>
          <w:w w:val="90"/>
          <w:lang w:val="en-US" w:eastAsia="de-DE"/>
        </w:rPr>
        <w:t>CEO</w:t>
      </w:r>
      <w:r w:rsidRPr="00D63C74">
        <w:rPr>
          <w:lang w:val="en-US" w:eastAsia="de-DE"/>
        </w:rPr>
        <w:t xml:space="preserve"> </w:t>
      </w:r>
      <w:r w:rsidRPr="00D63C74">
        <w:rPr>
          <w:w w:val="99"/>
          <w:lang w:val="en-US" w:eastAsia="de-DE"/>
        </w:rPr>
        <w:t>of Leoni AG, at the compan</w:t>
      </w:r>
      <w:r w:rsidR="00D63C74" w:rsidRPr="00D63C74">
        <w:rPr>
          <w:w w:val="99"/>
          <w:lang w:val="en-US" w:eastAsia="de-DE"/>
        </w:rPr>
        <w:t>y</w:t>
      </w:r>
      <w:r w:rsidRPr="00D63C74">
        <w:rPr>
          <w:w w:val="99"/>
          <w:lang w:val="en-US" w:eastAsia="de-DE"/>
        </w:rPr>
        <w:t>'</w:t>
      </w:r>
      <w:r w:rsidR="00D63C74" w:rsidRPr="00D63C74">
        <w:rPr>
          <w:w w:val="99"/>
          <w:lang w:val="en-US" w:eastAsia="de-DE"/>
        </w:rPr>
        <w:t>s</w:t>
      </w:r>
      <w:r w:rsidRPr="00D63C74">
        <w:rPr>
          <w:w w:val="99"/>
          <w:lang w:val="en-US" w:eastAsia="de-DE"/>
        </w:rPr>
        <w:t xml:space="preserve"> balance sheet press conference. “We succeeded</w:t>
      </w:r>
      <w:r w:rsidRPr="00D63C74">
        <w:rPr>
          <w:lang w:val="en-US" w:eastAsia="de-DE"/>
        </w:rPr>
        <w:t xml:space="preserve"> in posting a new sales record despite the weak economy in our home market of Europe. </w:t>
      </w:r>
      <w:r w:rsidRPr="007C56C6">
        <w:rPr>
          <w:lang w:val="en-US" w:eastAsia="de-DE"/>
        </w:rPr>
        <w:t xml:space="preserve">This was possible only because </w:t>
      </w:r>
      <w:proofErr w:type="spellStart"/>
      <w:r w:rsidRPr="007C56C6">
        <w:rPr>
          <w:lang w:val="en-US" w:eastAsia="de-DE"/>
        </w:rPr>
        <w:t>Leoni’s</w:t>
      </w:r>
      <w:proofErr w:type="spellEnd"/>
      <w:r w:rsidRPr="007C56C6">
        <w:rPr>
          <w:lang w:val="en-US" w:eastAsia="de-DE"/>
        </w:rPr>
        <w:t xml:space="preserve"> international footprint is growing and our business in</w:t>
      </w:r>
      <w:r w:rsidR="00410A5D" w:rsidRPr="007C56C6">
        <w:rPr>
          <w:lang w:val="en-US" w:eastAsia="de-DE"/>
        </w:rPr>
        <w:t xml:space="preserve"> the A</w:t>
      </w:r>
      <w:r w:rsidRPr="007C56C6">
        <w:rPr>
          <w:lang w:val="en-US" w:eastAsia="de-DE"/>
        </w:rPr>
        <w:t>merica</w:t>
      </w:r>
      <w:r w:rsidR="00410A5D" w:rsidRPr="007C56C6">
        <w:rPr>
          <w:lang w:val="en-US" w:eastAsia="de-DE"/>
        </w:rPr>
        <w:t>s</w:t>
      </w:r>
      <w:r w:rsidRPr="007C56C6">
        <w:rPr>
          <w:lang w:val="en-US" w:eastAsia="de-DE"/>
        </w:rPr>
        <w:t xml:space="preserve"> and Asia performed very well.”</w:t>
      </w:r>
    </w:p>
    <w:p w:rsidR="00E549D9" w:rsidRPr="007C56C6" w:rsidRDefault="00E549D9">
      <w:pPr>
        <w:pStyle w:val="MMZwischenberschrift"/>
        <w:rPr>
          <w:lang w:val="en-US" w:eastAsia="de-DE"/>
        </w:rPr>
      </w:pPr>
      <w:r w:rsidRPr="007C56C6">
        <w:rPr>
          <w:lang w:val="en-US" w:eastAsia="de-DE"/>
        </w:rPr>
        <w:t>WSD: growth in business with premium manufacturers</w:t>
      </w:r>
    </w:p>
    <w:p w:rsidR="00E549D9" w:rsidRPr="00410A5D" w:rsidRDefault="00E549D9">
      <w:pPr>
        <w:pStyle w:val="MMFlietext"/>
        <w:rPr>
          <w:rFonts w:cs="Times New Roman"/>
          <w:szCs w:val="24"/>
          <w:lang w:val="en-US"/>
        </w:rPr>
      </w:pPr>
      <w:r>
        <w:rPr>
          <w:rFonts w:cs="Times New Roman"/>
          <w:szCs w:val="24"/>
          <w:lang w:val="en-GB"/>
        </w:rPr>
        <w:t>The Wiring Systems Division increased its sales by over 5 percent to EUR 2,321.0 million during the year under report (2012: EUR 2,206.4 million).</w:t>
      </w:r>
      <w:r w:rsidRPr="00410A5D">
        <w:rPr>
          <w:rFonts w:cs="Times New Roman"/>
          <w:szCs w:val="24"/>
          <w:lang w:val="en-US"/>
        </w:rPr>
        <w:t xml:space="preserve"> </w:t>
      </w:r>
      <w:r>
        <w:rPr>
          <w:rFonts w:cs="Times New Roman"/>
          <w:szCs w:val="24"/>
          <w:lang w:val="en-GB"/>
        </w:rPr>
        <w:t>Above all, the demand from the export-heavyweight German car industry, especially so the premium manufacturers, was the key to this growth.</w:t>
      </w:r>
      <w:r w:rsidRPr="00410A5D">
        <w:rPr>
          <w:rFonts w:cs="Times New Roman"/>
          <w:szCs w:val="24"/>
          <w:lang w:val="en-US"/>
        </w:rPr>
        <w:t xml:space="preserve"> </w:t>
      </w:r>
      <w:r>
        <w:rPr>
          <w:rFonts w:cs="Times New Roman"/>
          <w:szCs w:val="24"/>
          <w:lang w:val="en-GB"/>
        </w:rPr>
        <w:t xml:space="preserve">There were also </w:t>
      </w:r>
      <w:r>
        <w:rPr>
          <w:rFonts w:cs="Times New Roman"/>
          <w:szCs w:val="24"/>
          <w:lang w:val="en-GB"/>
        </w:rPr>
        <w:lastRenderedPageBreak/>
        <w:t>significant increases in the sales of cable harnesses and wiring systems that were produced at Chinese plants and mostly supplied to foreign manufacturers based in the country.</w:t>
      </w:r>
      <w:r w:rsidRPr="00410A5D">
        <w:rPr>
          <w:rFonts w:cs="Times New Roman"/>
          <w:szCs w:val="24"/>
          <w:lang w:val="en-US"/>
        </w:rPr>
        <w:t xml:space="preserve"> </w:t>
      </w:r>
      <w:r>
        <w:rPr>
          <w:rFonts w:cs="Times New Roman"/>
          <w:szCs w:val="24"/>
          <w:lang w:val="en-GB"/>
        </w:rPr>
        <w:t>In</w:t>
      </w:r>
      <w:r w:rsidR="00410A5D">
        <w:rPr>
          <w:rFonts w:cs="Times New Roman"/>
          <w:szCs w:val="24"/>
          <w:lang w:val="en-GB"/>
        </w:rPr>
        <w:t xml:space="preserve"> the Americas</w:t>
      </w:r>
      <w:r>
        <w:rPr>
          <w:rFonts w:cs="Times New Roman"/>
          <w:szCs w:val="24"/>
          <w:lang w:val="en-GB"/>
        </w:rPr>
        <w:t>, where the Company up to now served almost exclusively the commercial vehicle market, it made a successful start into the car wiring systems business.</w:t>
      </w:r>
      <w:r w:rsidRPr="00410A5D">
        <w:rPr>
          <w:rFonts w:cs="Times New Roman"/>
          <w:szCs w:val="24"/>
          <w:lang w:val="en-US"/>
        </w:rPr>
        <w:t xml:space="preserve"> </w:t>
      </w:r>
      <w:r>
        <w:rPr>
          <w:rFonts w:cs="Times New Roman"/>
          <w:szCs w:val="24"/>
          <w:lang w:val="en-GB"/>
        </w:rPr>
        <w:t>The new Business Unit Power Sports was also successfully established.</w:t>
      </w:r>
      <w:r w:rsidRPr="00410A5D">
        <w:rPr>
          <w:rFonts w:cs="Times New Roman"/>
          <w:szCs w:val="24"/>
          <w:lang w:val="en-US"/>
        </w:rPr>
        <w:t xml:space="preserve"> </w:t>
      </w:r>
    </w:p>
    <w:p w:rsidR="00E549D9" w:rsidRPr="00410A5D" w:rsidRDefault="00E549D9">
      <w:pPr>
        <w:pStyle w:val="MMFlietext"/>
        <w:rPr>
          <w:rFonts w:cs="Times New Roman"/>
          <w:szCs w:val="24"/>
          <w:lang w:val="en-US"/>
        </w:rPr>
      </w:pPr>
      <w:r>
        <w:rPr>
          <w:rFonts w:cs="Times New Roman"/>
          <w:szCs w:val="24"/>
          <w:lang w:val="en-GB"/>
        </w:rPr>
        <w:t>In particular, restructuring expenses of EUR 12.6 million as well as substantial pre-production spending on an above-average, large number of new projects exerted a negative effect on earnings.</w:t>
      </w:r>
      <w:r w:rsidRPr="00410A5D">
        <w:rPr>
          <w:rFonts w:cs="Times New Roman"/>
          <w:szCs w:val="24"/>
          <w:lang w:val="en-US"/>
        </w:rPr>
        <w:t xml:space="preserve"> </w:t>
      </w:r>
      <w:r>
        <w:rPr>
          <w:rFonts w:cs="Times New Roman"/>
          <w:szCs w:val="24"/>
          <w:lang w:val="en-GB"/>
        </w:rPr>
        <w:t>As expected, the division’s EBIT was down to EUR 116.1 million (2012: EUR 136.4 million).</w:t>
      </w:r>
    </w:p>
    <w:p w:rsidR="00E549D9" w:rsidRPr="00410A5D" w:rsidRDefault="00E549D9">
      <w:pPr>
        <w:pStyle w:val="MMZwischenberschrift"/>
        <w:rPr>
          <w:rFonts w:cs="Times New Roman"/>
          <w:szCs w:val="24"/>
          <w:lang w:val="en-US"/>
        </w:rPr>
      </w:pPr>
      <w:r>
        <w:rPr>
          <w:rFonts w:cs="Times New Roman"/>
          <w:szCs w:val="24"/>
          <w:lang w:val="en-GB"/>
        </w:rPr>
        <w:t>WCS:</w:t>
      </w:r>
      <w:r w:rsidRPr="00410A5D">
        <w:rPr>
          <w:rFonts w:cs="Times New Roman"/>
          <w:szCs w:val="24"/>
          <w:lang w:val="en-US"/>
        </w:rPr>
        <w:t xml:space="preserve"> </w:t>
      </w:r>
      <w:r>
        <w:rPr>
          <w:rFonts w:cs="Times New Roman"/>
          <w:szCs w:val="24"/>
          <w:lang w:val="en-GB"/>
        </w:rPr>
        <w:t>automotive cable sales up, industrial business down</w:t>
      </w:r>
      <w:r w:rsidRPr="00410A5D">
        <w:rPr>
          <w:rFonts w:cs="Times New Roman"/>
          <w:szCs w:val="24"/>
          <w:lang w:val="en-US"/>
        </w:rPr>
        <w:t xml:space="preserve">   </w:t>
      </w:r>
    </w:p>
    <w:p w:rsidR="00E549D9" w:rsidRPr="00410A5D" w:rsidRDefault="00E549D9">
      <w:pPr>
        <w:pStyle w:val="MMFlietext"/>
        <w:rPr>
          <w:rFonts w:cs="Times New Roman"/>
          <w:szCs w:val="24"/>
          <w:lang w:val="en-US"/>
        </w:rPr>
      </w:pPr>
      <w:r>
        <w:rPr>
          <w:rFonts w:cs="Times New Roman"/>
          <w:szCs w:val="24"/>
          <w:lang w:val="en-GB"/>
        </w:rPr>
        <w:t>The sales performance of the Wire &amp; Cable Solutions Division was again mixed in the 2013 financial year.</w:t>
      </w:r>
      <w:r w:rsidRPr="00410A5D">
        <w:rPr>
          <w:rFonts w:cs="Times New Roman"/>
          <w:szCs w:val="24"/>
          <w:lang w:val="en-US"/>
        </w:rPr>
        <w:t xml:space="preserve"> </w:t>
      </w:r>
      <w:r>
        <w:rPr>
          <w:rFonts w:cs="Times New Roman"/>
          <w:szCs w:val="24"/>
          <w:lang w:val="en-GB"/>
        </w:rPr>
        <w:t xml:space="preserve">The business units that supply the industrial sector with cables and cable systems had to contend with declining demand because their business is still heavily geared towards </w:t>
      </w:r>
      <w:smartTag w:uri="urn:schemas-microsoft-com:office:smarttags" w:element="place">
        <w:r>
          <w:rPr>
            <w:rFonts w:cs="Times New Roman"/>
            <w:szCs w:val="24"/>
            <w:lang w:val="en-GB"/>
          </w:rPr>
          <w:t>Europe</w:t>
        </w:r>
      </w:smartTag>
      <w:r>
        <w:rPr>
          <w:rFonts w:cs="Times New Roman"/>
          <w:szCs w:val="24"/>
          <w:lang w:val="en-GB"/>
        </w:rPr>
        <w:t>, where the economy has been weak of late.</w:t>
      </w:r>
      <w:r w:rsidRPr="00410A5D">
        <w:rPr>
          <w:rFonts w:cs="Times New Roman"/>
          <w:szCs w:val="24"/>
          <w:lang w:val="en-US"/>
        </w:rPr>
        <w:t xml:space="preserve"> </w:t>
      </w:r>
      <w:r>
        <w:rPr>
          <w:rFonts w:cs="Times New Roman"/>
          <w:szCs w:val="24"/>
          <w:lang w:val="en-GB"/>
        </w:rPr>
        <w:t>By contrast, income from the sales of automotive cables was up:</w:t>
      </w:r>
      <w:r w:rsidRPr="00410A5D">
        <w:rPr>
          <w:rFonts w:cs="Times New Roman"/>
          <w:szCs w:val="24"/>
          <w:lang w:val="en-US"/>
        </w:rPr>
        <w:t xml:space="preserve"> </w:t>
      </w:r>
      <w:r>
        <w:rPr>
          <w:rFonts w:cs="Times New Roman"/>
          <w:szCs w:val="24"/>
          <w:lang w:val="en-GB"/>
        </w:rPr>
        <w:t>while sales were flat in Europe, they rose significantly in Asia and</w:t>
      </w:r>
      <w:r w:rsidR="00410A5D">
        <w:rPr>
          <w:rFonts w:cs="Times New Roman"/>
          <w:szCs w:val="24"/>
          <w:lang w:val="en-GB"/>
        </w:rPr>
        <w:t xml:space="preserve"> the A</w:t>
      </w:r>
      <w:r>
        <w:rPr>
          <w:rFonts w:cs="Times New Roman"/>
          <w:szCs w:val="24"/>
          <w:lang w:val="en-GB"/>
        </w:rPr>
        <w:t>merica</w:t>
      </w:r>
      <w:r w:rsidR="00410A5D">
        <w:rPr>
          <w:rFonts w:cs="Times New Roman"/>
          <w:szCs w:val="24"/>
          <w:lang w:val="en-GB"/>
        </w:rPr>
        <w:t>s</w:t>
      </w:r>
      <w:r>
        <w:rPr>
          <w:rFonts w:cs="Times New Roman"/>
          <w:szCs w:val="24"/>
          <w:lang w:val="en-GB"/>
        </w:rPr>
        <w:t>.</w:t>
      </w:r>
      <w:r w:rsidRPr="00410A5D">
        <w:rPr>
          <w:rFonts w:cs="Times New Roman"/>
          <w:szCs w:val="24"/>
          <w:lang w:val="en-US"/>
        </w:rPr>
        <w:t xml:space="preserve"> </w:t>
      </w:r>
      <w:r>
        <w:rPr>
          <w:rFonts w:cs="Times New Roman"/>
          <w:szCs w:val="24"/>
          <w:lang w:val="en-GB"/>
        </w:rPr>
        <w:t xml:space="preserve">Capacity in these </w:t>
      </w:r>
      <w:r w:rsidR="00410A5D">
        <w:rPr>
          <w:rFonts w:cs="Times New Roman"/>
          <w:szCs w:val="24"/>
          <w:lang w:val="en-GB"/>
        </w:rPr>
        <w:t xml:space="preserve">two </w:t>
      </w:r>
      <w:r>
        <w:rPr>
          <w:rFonts w:cs="Times New Roman"/>
          <w:szCs w:val="24"/>
          <w:lang w:val="en-GB"/>
        </w:rPr>
        <w:t>markets was expanded accordingly during the period under report.</w:t>
      </w:r>
      <w:r w:rsidRPr="00410A5D">
        <w:rPr>
          <w:rFonts w:cs="Times New Roman"/>
          <w:szCs w:val="24"/>
          <w:lang w:val="en-US"/>
        </w:rPr>
        <w:t xml:space="preserve"> </w:t>
      </w:r>
      <w:r>
        <w:rPr>
          <w:rFonts w:cs="Times New Roman"/>
          <w:szCs w:val="24"/>
          <w:lang w:val="en-GB"/>
        </w:rPr>
        <w:t>Overall, the division's external sales remained virtually unchanged at EUR 1,596.9 million (2012: EUR 1,602.6 million).</w:t>
      </w:r>
    </w:p>
    <w:p w:rsidR="00E549D9" w:rsidRPr="00410A5D" w:rsidRDefault="00E549D9">
      <w:pPr>
        <w:pStyle w:val="MMFlietext"/>
        <w:rPr>
          <w:rFonts w:cs="Times New Roman"/>
          <w:szCs w:val="24"/>
          <w:lang w:val="en-US"/>
        </w:rPr>
      </w:pPr>
      <w:r>
        <w:rPr>
          <w:rFonts w:cs="Times New Roman"/>
          <w:szCs w:val="24"/>
          <w:lang w:val="en-GB"/>
        </w:rPr>
        <w:t>As expected, the division’s EBIT of EUR 47.1 million was substantially below the previous year’s figure of EUR 101.3 million, which was boosted by the non-recurring income of EUR 28.3 million from the sale of subsidiary Leoni Studer Hard AG.</w:t>
      </w:r>
      <w:r w:rsidRPr="00410A5D">
        <w:rPr>
          <w:rFonts w:cs="Times New Roman"/>
          <w:szCs w:val="24"/>
          <w:lang w:val="en-US"/>
        </w:rPr>
        <w:t xml:space="preserve"> </w:t>
      </w:r>
      <w:r>
        <w:rPr>
          <w:rFonts w:cs="Times New Roman"/>
          <w:szCs w:val="24"/>
          <w:lang w:val="en-GB"/>
        </w:rPr>
        <w:t>Restructuring expenses of EUR 8.9 million, the weak level of capacity utilisation in the industrial segment as well as an unfavourable mix of automotive cable products also adversely affected earnings during the year under report.</w:t>
      </w:r>
      <w:r w:rsidRPr="00410A5D">
        <w:rPr>
          <w:rFonts w:cs="Times New Roman"/>
          <w:szCs w:val="24"/>
          <w:lang w:val="en-US"/>
        </w:rPr>
        <w:t xml:space="preserve"> </w:t>
      </w:r>
    </w:p>
    <w:p w:rsidR="00E549D9" w:rsidRPr="00410A5D" w:rsidRDefault="00E549D9">
      <w:pPr>
        <w:pStyle w:val="MMZwischenberschrift"/>
        <w:rPr>
          <w:rFonts w:cs="Times New Roman"/>
          <w:szCs w:val="24"/>
          <w:lang w:val="en-US"/>
        </w:rPr>
      </w:pPr>
      <w:r>
        <w:rPr>
          <w:rFonts w:cs="Times New Roman"/>
          <w:szCs w:val="24"/>
          <w:lang w:val="en-GB"/>
        </w:rPr>
        <w:t>Cash flow:</w:t>
      </w:r>
      <w:r w:rsidRPr="00410A5D">
        <w:rPr>
          <w:rFonts w:cs="Times New Roman"/>
          <w:szCs w:val="24"/>
          <w:lang w:val="en-US"/>
        </w:rPr>
        <w:t xml:space="preserve"> </w:t>
      </w:r>
      <w:r>
        <w:rPr>
          <w:rFonts w:cs="Times New Roman"/>
          <w:szCs w:val="24"/>
          <w:lang w:val="en-GB"/>
        </w:rPr>
        <w:t>capital investment at record level</w:t>
      </w:r>
      <w:r w:rsidRPr="00410A5D">
        <w:rPr>
          <w:rFonts w:cs="Times New Roman"/>
          <w:szCs w:val="24"/>
          <w:lang w:val="en-US"/>
        </w:rPr>
        <w:t xml:space="preserve"> </w:t>
      </w:r>
    </w:p>
    <w:p w:rsidR="00E549D9" w:rsidRPr="00410A5D" w:rsidRDefault="00E549D9">
      <w:pPr>
        <w:pStyle w:val="MMFlietext"/>
        <w:rPr>
          <w:rFonts w:cs="Times New Roman"/>
          <w:szCs w:val="24"/>
          <w:lang w:val="en-US"/>
        </w:rPr>
      </w:pPr>
      <w:proofErr w:type="spellStart"/>
      <w:r>
        <w:rPr>
          <w:rFonts w:cs="Times New Roman"/>
          <w:szCs w:val="24"/>
          <w:lang w:val="en-GB"/>
        </w:rPr>
        <w:t>Leoni's</w:t>
      </w:r>
      <w:proofErr w:type="spellEnd"/>
      <w:r>
        <w:rPr>
          <w:rFonts w:cs="Times New Roman"/>
          <w:szCs w:val="24"/>
          <w:lang w:val="en-GB"/>
        </w:rPr>
        <w:t xml:space="preserve"> capital spending came to a record total of EUR 168.4 million (2012: EUR 154.2 million), equating to a 9 percent increase, on property, plant and equipment as well as intangible assets.</w:t>
      </w:r>
      <w:r w:rsidRPr="00410A5D">
        <w:rPr>
          <w:rFonts w:cs="Times New Roman"/>
          <w:szCs w:val="24"/>
          <w:lang w:val="en-US"/>
        </w:rPr>
        <w:t xml:space="preserve"> </w:t>
      </w:r>
      <w:r>
        <w:rPr>
          <w:rFonts w:cs="Times New Roman"/>
          <w:szCs w:val="24"/>
          <w:lang w:val="en-GB"/>
        </w:rPr>
        <w:t xml:space="preserve">For example, the Company expanded </w:t>
      </w:r>
      <w:r>
        <w:rPr>
          <w:rFonts w:cs="Times New Roman"/>
          <w:szCs w:val="24"/>
          <w:lang w:val="en-GB"/>
        </w:rPr>
        <w:lastRenderedPageBreak/>
        <w:t xml:space="preserve">its automotive capacity in </w:t>
      </w:r>
      <w:smartTag w:uri="urn:schemas-microsoft-com:office:smarttags" w:element="country-region">
        <w:r>
          <w:rPr>
            <w:rFonts w:cs="Times New Roman"/>
            <w:szCs w:val="24"/>
            <w:lang w:val="en-GB"/>
          </w:rPr>
          <w:t>China</w:t>
        </w:r>
      </w:smartTag>
      <w:r>
        <w:rPr>
          <w:rFonts w:cs="Times New Roman"/>
          <w:szCs w:val="24"/>
          <w:lang w:val="en-GB"/>
        </w:rPr>
        <w:t xml:space="preserve"> as well as </w:t>
      </w:r>
      <w:smartTag w:uri="urn:schemas-microsoft-com:office:smarttags" w:element="country-region">
        <w:r>
          <w:rPr>
            <w:rFonts w:cs="Times New Roman"/>
            <w:szCs w:val="24"/>
            <w:lang w:val="en-GB"/>
          </w:rPr>
          <w:t>Mexico</w:t>
        </w:r>
      </w:smartTag>
      <w:r>
        <w:rPr>
          <w:rFonts w:cs="Times New Roman"/>
          <w:szCs w:val="24"/>
          <w:lang w:val="en-GB"/>
        </w:rPr>
        <w:t xml:space="preserve"> and set up an injection moulding line in </w:t>
      </w:r>
      <w:smartTag w:uri="urn:schemas-microsoft-com:office:smarttags" w:element="place">
        <w:smartTag w:uri="urn:schemas-microsoft-com:office:smarttags" w:element="country-region">
          <w:r>
            <w:rPr>
              <w:rFonts w:cs="Times New Roman"/>
              <w:szCs w:val="24"/>
              <w:lang w:val="en-GB"/>
            </w:rPr>
            <w:t>Slovakia</w:t>
          </w:r>
        </w:smartTag>
      </w:smartTag>
      <w:r>
        <w:rPr>
          <w:rFonts w:cs="Times New Roman"/>
          <w:szCs w:val="24"/>
          <w:lang w:val="en-GB"/>
        </w:rPr>
        <w:t>.</w:t>
      </w:r>
      <w:r w:rsidRPr="00410A5D">
        <w:rPr>
          <w:rFonts w:cs="Times New Roman"/>
          <w:szCs w:val="24"/>
          <w:lang w:val="en-US"/>
        </w:rPr>
        <w:t xml:space="preserve"> </w:t>
      </w:r>
      <w:r>
        <w:rPr>
          <w:rFonts w:cs="Times New Roman"/>
          <w:szCs w:val="24"/>
          <w:lang w:val="en-GB"/>
        </w:rPr>
        <w:t>There was also investment in modernising the wiring systems business headquarter in Kitzingen, in particular to be able to further enlarge the engineering and development departments.</w:t>
      </w:r>
      <w:r w:rsidRPr="00410A5D">
        <w:rPr>
          <w:rFonts w:cs="Times New Roman"/>
          <w:szCs w:val="24"/>
          <w:lang w:val="en-US"/>
        </w:rPr>
        <w:t xml:space="preserve"> </w:t>
      </w:r>
      <w:r>
        <w:rPr>
          <w:rFonts w:cs="Times New Roman"/>
          <w:szCs w:val="24"/>
          <w:lang w:val="en-GB"/>
        </w:rPr>
        <w:t xml:space="preserve">Despite this once again increased </w:t>
      </w:r>
      <w:r w:rsidRPr="007C56C6">
        <w:rPr>
          <w:rFonts w:cs="Times New Roman"/>
          <w:szCs w:val="24"/>
          <w:lang w:val="en-GB"/>
        </w:rPr>
        <w:t>amount of capital expenditure, Leoni generated cash from operating activities of EUR 187.4 million (2012: EUR 211.7 million).</w:t>
      </w:r>
      <w:r w:rsidRPr="007C56C6">
        <w:rPr>
          <w:rFonts w:cs="Times New Roman"/>
          <w:szCs w:val="24"/>
          <w:lang w:val="en-US"/>
        </w:rPr>
        <w:t xml:space="preserve"> </w:t>
      </w:r>
      <w:r w:rsidRPr="007C56C6">
        <w:rPr>
          <w:rFonts w:cs="Times New Roman"/>
          <w:szCs w:val="24"/>
          <w:lang w:val="en-GB"/>
        </w:rPr>
        <w:t xml:space="preserve">Free cash flow came to EUR 36.7 million (2012: EUR 63.5 million) and thus not </w:t>
      </w:r>
      <w:r w:rsidR="00DF39BD" w:rsidRPr="007C56C6">
        <w:rPr>
          <w:rFonts w:cs="Times New Roman"/>
          <w:szCs w:val="24"/>
          <w:lang w:val="en-GB"/>
        </w:rPr>
        <w:t xml:space="preserve">quite to </w:t>
      </w:r>
      <w:r w:rsidRPr="007C56C6">
        <w:rPr>
          <w:rFonts w:cs="Times New Roman"/>
          <w:szCs w:val="24"/>
          <w:lang w:val="en-GB"/>
        </w:rPr>
        <w:t>the targeted level.</w:t>
      </w:r>
    </w:p>
    <w:p w:rsidR="00E549D9" w:rsidRPr="00410A5D" w:rsidRDefault="00E549D9">
      <w:pPr>
        <w:pStyle w:val="MMZwischenberschrift"/>
        <w:rPr>
          <w:rFonts w:cs="Times New Roman"/>
          <w:szCs w:val="24"/>
          <w:lang w:val="en-US"/>
        </w:rPr>
      </w:pPr>
      <w:r>
        <w:rPr>
          <w:rFonts w:cs="Times New Roman"/>
          <w:szCs w:val="24"/>
          <w:lang w:val="en-GB"/>
        </w:rPr>
        <w:t>Financial situation:</w:t>
      </w:r>
      <w:r w:rsidRPr="00410A5D">
        <w:rPr>
          <w:rFonts w:cs="Times New Roman"/>
          <w:szCs w:val="24"/>
          <w:lang w:val="en-US"/>
        </w:rPr>
        <w:t xml:space="preserve"> </w:t>
      </w:r>
      <w:r>
        <w:rPr>
          <w:rFonts w:cs="Times New Roman"/>
          <w:szCs w:val="24"/>
          <w:lang w:val="en-GB"/>
        </w:rPr>
        <w:t>gearing lower once again</w:t>
      </w:r>
    </w:p>
    <w:p w:rsidR="00E549D9" w:rsidRPr="00410A5D" w:rsidRDefault="00E549D9">
      <w:pPr>
        <w:pStyle w:val="MMFlietext"/>
        <w:rPr>
          <w:rFonts w:cs="Times New Roman"/>
          <w:szCs w:val="24"/>
          <w:lang w:val="en-US"/>
        </w:rPr>
      </w:pPr>
      <w:r>
        <w:rPr>
          <w:rFonts w:cs="Times New Roman"/>
          <w:szCs w:val="24"/>
          <w:lang w:val="en-GB"/>
        </w:rPr>
        <w:t>Leoni has steadily improved its asset situation since overcoming the business and financial crisis.</w:t>
      </w:r>
      <w:r w:rsidRPr="00410A5D">
        <w:rPr>
          <w:rFonts w:cs="Times New Roman"/>
          <w:szCs w:val="24"/>
          <w:lang w:val="en-US"/>
        </w:rPr>
        <w:t xml:space="preserve"> </w:t>
      </w:r>
      <w:r>
        <w:rPr>
          <w:rFonts w:cs="Times New Roman"/>
          <w:szCs w:val="24"/>
          <w:lang w:val="en-GB"/>
        </w:rPr>
        <w:t>Equity rose in 2013 to a level of now EUR 827.6 million (2012: EUR 784.0 million).</w:t>
      </w:r>
      <w:r w:rsidRPr="00410A5D">
        <w:rPr>
          <w:rFonts w:cs="Times New Roman"/>
          <w:szCs w:val="24"/>
          <w:lang w:val="en-US"/>
        </w:rPr>
        <w:t xml:space="preserve"> </w:t>
      </w:r>
      <w:r>
        <w:rPr>
          <w:rFonts w:cs="Times New Roman"/>
          <w:szCs w:val="24"/>
          <w:lang w:val="en-GB"/>
        </w:rPr>
        <w:t>The equity ratio also increased and on 31 December 2013 stood at 34.5 percent (</w:t>
      </w:r>
      <w:r w:rsidR="00C275E6">
        <w:rPr>
          <w:rFonts w:cs="Times New Roman"/>
          <w:szCs w:val="24"/>
          <w:lang w:val="en-GB"/>
        </w:rPr>
        <w:t>3</w:t>
      </w:r>
      <w:r>
        <w:rPr>
          <w:rFonts w:cs="Times New Roman"/>
          <w:szCs w:val="24"/>
          <w:lang w:val="en-GB"/>
        </w:rPr>
        <w:t>1 December 2012: 32.9 percent) – the highest level since 2006.</w:t>
      </w:r>
      <w:r w:rsidRPr="00410A5D">
        <w:rPr>
          <w:rFonts w:cs="Times New Roman"/>
          <w:szCs w:val="24"/>
          <w:lang w:val="en-US"/>
        </w:rPr>
        <w:t xml:space="preserve"> </w:t>
      </w:r>
      <w:r>
        <w:rPr>
          <w:rFonts w:cs="Times New Roman"/>
          <w:szCs w:val="24"/>
          <w:lang w:val="en-GB"/>
        </w:rPr>
        <w:t>Net debt grew slightly to EUR 257.0 million by yearend, from EUR 249.2 million in the previous year.</w:t>
      </w:r>
      <w:r w:rsidRPr="00410A5D">
        <w:rPr>
          <w:rFonts w:cs="Times New Roman"/>
          <w:szCs w:val="24"/>
          <w:lang w:val="en-US"/>
        </w:rPr>
        <w:t xml:space="preserve"> </w:t>
      </w:r>
      <w:r>
        <w:rPr>
          <w:rFonts w:cs="Times New Roman"/>
          <w:szCs w:val="24"/>
          <w:lang w:val="en-GB"/>
        </w:rPr>
        <w:t xml:space="preserve">Gearing </w:t>
      </w:r>
      <w:r w:rsidR="008F3C43">
        <w:rPr>
          <w:rFonts w:cs="Times New Roman"/>
          <w:szCs w:val="24"/>
          <w:lang w:val="en-GB"/>
        </w:rPr>
        <w:t xml:space="preserve">could be slightly </w:t>
      </w:r>
      <w:r w:rsidR="00DF39BD">
        <w:rPr>
          <w:rFonts w:cs="Times New Roman"/>
          <w:szCs w:val="24"/>
          <w:lang w:val="en-GB"/>
        </w:rPr>
        <w:t>reduced again</w:t>
      </w:r>
      <w:r w:rsidR="008F3C43">
        <w:rPr>
          <w:rFonts w:cs="Times New Roman"/>
          <w:szCs w:val="24"/>
          <w:lang w:val="en-GB"/>
        </w:rPr>
        <w:t xml:space="preserve"> </w:t>
      </w:r>
      <w:r>
        <w:rPr>
          <w:rFonts w:cs="Times New Roman"/>
          <w:szCs w:val="24"/>
          <w:lang w:val="en-GB"/>
        </w:rPr>
        <w:t>and stood at 31 percent (2012: 32 percent).</w:t>
      </w:r>
      <w:r w:rsidRPr="00410A5D">
        <w:rPr>
          <w:rFonts w:cs="Times New Roman"/>
          <w:szCs w:val="24"/>
          <w:lang w:val="en-US"/>
        </w:rPr>
        <w:t xml:space="preserve"> </w:t>
      </w:r>
      <w:r>
        <w:rPr>
          <w:rFonts w:cs="Times New Roman"/>
          <w:szCs w:val="24"/>
          <w:lang w:val="en-GB"/>
        </w:rPr>
        <w:t>The return on capital employed (ROCE) came to 13.2 percent on 31 December 2013 (31 December 2012: 20.9 percent) and was thus below the 15 percent target level.</w:t>
      </w:r>
      <w:r w:rsidRPr="00410A5D">
        <w:rPr>
          <w:rFonts w:cs="Times New Roman"/>
          <w:szCs w:val="24"/>
          <w:lang w:val="en-US"/>
        </w:rPr>
        <w:t xml:space="preserve"> </w:t>
      </w:r>
    </w:p>
    <w:p w:rsidR="00E549D9" w:rsidRPr="00410A5D" w:rsidRDefault="00E549D9">
      <w:pPr>
        <w:pStyle w:val="MMZwischenberschrift"/>
        <w:rPr>
          <w:rFonts w:cs="Times New Roman"/>
          <w:szCs w:val="24"/>
          <w:lang w:val="en-US"/>
        </w:rPr>
      </w:pPr>
      <w:r>
        <w:rPr>
          <w:rFonts w:cs="Times New Roman"/>
          <w:szCs w:val="24"/>
          <w:lang w:val="en-GB"/>
        </w:rPr>
        <w:t>Forecast:</w:t>
      </w:r>
      <w:r w:rsidRPr="00410A5D">
        <w:rPr>
          <w:rFonts w:cs="Times New Roman"/>
          <w:szCs w:val="24"/>
          <w:lang w:val="en-US"/>
        </w:rPr>
        <w:t xml:space="preserve"> </w:t>
      </w:r>
      <w:r>
        <w:rPr>
          <w:rFonts w:cs="Times New Roman"/>
          <w:szCs w:val="24"/>
          <w:lang w:val="en-GB"/>
        </w:rPr>
        <w:t>balanced sales by region in the long term</w:t>
      </w:r>
      <w:r w:rsidRPr="00410A5D">
        <w:rPr>
          <w:rFonts w:cs="Times New Roman"/>
          <w:szCs w:val="24"/>
          <w:lang w:val="en-US"/>
        </w:rPr>
        <w:t xml:space="preserve"> </w:t>
      </w:r>
    </w:p>
    <w:p w:rsidR="00E549D9" w:rsidRPr="00410A5D" w:rsidRDefault="00E549D9">
      <w:pPr>
        <w:pStyle w:val="MMFlietext"/>
        <w:rPr>
          <w:rFonts w:cs="Times New Roman"/>
          <w:szCs w:val="24"/>
          <w:lang w:val="en-US"/>
        </w:rPr>
      </w:pPr>
      <w:r>
        <w:rPr>
          <w:rFonts w:cs="Times New Roman"/>
          <w:szCs w:val="24"/>
          <w:lang w:val="en-GB"/>
        </w:rPr>
        <w:t>In line with its planning, in 2014 Leoni is entering its next phase of growth, which will take the Company to consolidated sales of EUR 5 billion and a 7 percent EBIT margin by 2016. Sales revenues of approx. EUR 4.1 billion and a disproportionately strong increase in earnings before interest and taxes to at least EUR 200 million are projected for the current financial year.</w:t>
      </w:r>
      <w:r w:rsidRPr="00410A5D">
        <w:rPr>
          <w:rFonts w:cs="Times New Roman"/>
          <w:szCs w:val="24"/>
          <w:lang w:val="en-US"/>
        </w:rPr>
        <w:t xml:space="preserve"> </w:t>
      </w:r>
      <w:r>
        <w:rPr>
          <w:rFonts w:cs="Times New Roman"/>
          <w:szCs w:val="24"/>
          <w:lang w:val="en-GB"/>
        </w:rPr>
        <w:t>The Company has budgeted for capital investment of EUR 200 million.</w:t>
      </w:r>
      <w:r w:rsidRPr="00410A5D">
        <w:rPr>
          <w:rFonts w:cs="Times New Roman"/>
          <w:szCs w:val="24"/>
          <w:lang w:val="en-US"/>
        </w:rPr>
        <w:t xml:space="preserve"> </w:t>
      </w:r>
    </w:p>
    <w:p w:rsidR="00E549D9" w:rsidRPr="00D63C74" w:rsidRDefault="00E549D9">
      <w:pPr>
        <w:pStyle w:val="MMFlietext"/>
        <w:rPr>
          <w:rFonts w:cs="Times New Roman"/>
          <w:szCs w:val="24"/>
          <w:lang w:val="en-GB"/>
        </w:rPr>
      </w:pPr>
      <w:r>
        <w:rPr>
          <w:rFonts w:cs="Times New Roman"/>
          <w:szCs w:val="24"/>
          <w:lang w:val="en-GB"/>
        </w:rPr>
        <w:t>Leoni estimates free cash flow of about EUR 30 million for 2014.</w:t>
      </w:r>
      <w:r w:rsidRPr="00410A5D">
        <w:rPr>
          <w:rFonts w:cs="Times New Roman"/>
          <w:szCs w:val="24"/>
          <w:lang w:val="en-US"/>
        </w:rPr>
        <w:t xml:space="preserve"> </w:t>
      </w:r>
      <w:r>
        <w:rPr>
          <w:rFonts w:cs="Times New Roman"/>
          <w:szCs w:val="24"/>
          <w:lang w:val="en-GB"/>
        </w:rPr>
        <w:t>The net income expected for the year should mean another increase in equity, thus taking the equity ratio up to about 36 percent.</w:t>
      </w:r>
      <w:r w:rsidRPr="00410A5D">
        <w:rPr>
          <w:rFonts w:cs="Times New Roman"/>
          <w:szCs w:val="24"/>
          <w:lang w:val="en-US"/>
        </w:rPr>
        <w:t xml:space="preserve"> </w:t>
      </w:r>
      <w:r>
        <w:rPr>
          <w:rFonts w:cs="Times New Roman"/>
          <w:szCs w:val="24"/>
          <w:lang w:val="en-GB"/>
        </w:rPr>
        <w:t>The return on capital employed will probably be about 16 percent.</w:t>
      </w:r>
    </w:p>
    <w:p w:rsidR="00E549D9" w:rsidRPr="00410A5D" w:rsidRDefault="00E549D9">
      <w:pPr>
        <w:pStyle w:val="MMFlietext"/>
        <w:rPr>
          <w:rFonts w:cs="Times New Roman"/>
          <w:szCs w:val="24"/>
          <w:lang w:val="en-US"/>
        </w:rPr>
      </w:pPr>
      <w:r>
        <w:rPr>
          <w:rFonts w:cs="Times New Roman"/>
          <w:szCs w:val="24"/>
          <w:lang w:val="en-GB"/>
        </w:rPr>
        <w:t xml:space="preserve">The shift in </w:t>
      </w:r>
      <w:proofErr w:type="spellStart"/>
      <w:r>
        <w:rPr>
          <w:rFonts w:cs="Times New Roman"/>
          <w:szCs w:val="24"/>
          <w:lang w:val="en-GB"/>
        </w:rPr>
        <w:t>Leoni’s</w:t>
      </w:r>
      <w:proofErr w:type="spellEnd"/>
      <w:r>
        <w:rPr>
          <w:rFonts w:cs="Times New Roman"/>
          <w:szCs w:val="24"/>
          <w:lang w:val="en-GB"/>
        </w:rPr>
        <w:t xml:space="preserve"> business by region will continue.</w:t>
      </w:r>
      <w:r w:rsidRPr="00410A5D">
        <w:rPr>
          <w:rFonts w:cs="Times New Roman"/>
          <w:szCs w:val="24"/>
          <w:lang w:val="en-US"/>
        </w:rPr>
        <w:t xml:space="preserve"> </w:t>
      </w:r>
      <w:r>
        <w:rPr>
          <w:rFonts w:cs="Times New Roman"/>
          <w:szCs w:val="24"/>
          <w:lang w:val="en-GB"/>
        </w:rPr>
        <w:t xml:space="preserve">While </w:t>
      </w:r>
      <w:smartTag w:uri="urn:schemas-microsoft-com:office:smarttags" w:element="place">
        <w:r>
          <w:rPr>
            <w:rFonts w:cs="Times New Roman"/>
            <w:szCs w:val="24"/>
            <w:lang w:val="en-GB"/>
          </w:rPr>
          <w:t>Europe</w:t>
        </w:r>
      </w:smartTag>
      <w:r>
        <w:rPr>
          <w:rFonts w:cs="Times New Roman"/>
          <w:szCs w:val="24"/>
          <w:lang w:val="en-GB"/>
        </w:rPr>
        <w:t xml:space="preserve"> still provided about two thirds of consolidated sales in the year under report, this proportion </w:t>
      </w:r>
      <w:r>
        <w:rPr>
          <w:rFonts w:cs="Times New Roman"/>
          <w:szCs w:val="24"/>
          <w:lang w:val="en-GB"/>
        </w:rPr>
        <w:lastRenderedPageBreak/>
        <w:t xml:space="preserve">will likely contract to just </w:t>
      </w:r>
      <w:proofErr w:type="gramStart"/>
      <w:r>
        <w:rPr>
          <w:rFonts w:cs="Times New Roman"/>
          <w:szCs w:val="24"/>
          <w:lang w:val="en-GB"/>
        </w:rPr>
        <w:t>under</w:t>
      </w:r>
      <w:proofErr w:type="gramEnd"/>
      <w:r>
        <w:rPr>
          <w:rFonts w:cs="Times New Roman"/>
          <w:szCs w:val="24"/>
          <w:lang w:val="en-GB"/>
        </w:rPr>
        <w:t xml:space="preserve"> 60 percent by 2018.</w:t>
      </w:r>
      <w:r w:rsidRPr="00410A5D">
        <w:rPr>
          <w:rFonts w:cs="Times New Roman"/>
          <w:szCs w:val="24"/>
          <w:lang w:val="en-US"/>
        </w:rPr>
        <w:t xml:space="preserve"> </w:t>
      </w:r>
      <w:r>
        <w:rPr>
          <w:rFonts w:cs="Times New Roman"/>
          <w:szCs w:val="24"/>
          <w:lang w:val="en-GB"/>
        </w:rPr>
        <w:t>The long-term aim is to have an even distribution of sales between</w:t>
      </w:r>
      <w:bookmarkStart w:id="0" w:name="_GoBack"/>
      <w:bookmarkEnd w:id="0"/>
      <w:r>
        <w:rPr>
          <w:rFonts w:cs="Times New Roman"/>
          <w:szCs w:val="24"/>
          <w:lang w:val="en-GB"/>
        </w:rPr>
        <w:t xml:space="preserve"> the economic areas of Europe, Asia </w:t>
      </w:r>
      <w:r w:rsidRPr="006C7288">
        <w:rPr>
          <w:rFonts w:cs="Times New Roman"/>
          <w:szCs w:val="24"/>
          <w:lang w:val="en-GB"/>
        </w:rPr>
        <w:t xml:space="preserve">and the </w:t>
      </w:r>
      <w:smartTag w:uri="urn:schemas-microsoft-com:office:smarttags" w:element="place">
        <w:smartTag w:uri="urn:schemas-microsoft-com:office:smarttags" w:element="country-region">
          <w:r w:rsidRPr="006C7288">
            <w:rPr>
              <w:rFonts w:cs="Times New Roman"/>
              <w:szCs w:val="24"/>
              <w:lang w:val="en-GB"/>
            </w:rPr>
            <w:t>Americas</w:t>
          </w:r>
        </w:smartTag>
      </w:smartTag>
      <w:r w:rsidRPr="006C7288">
        <w:rPr>
          <w:rFonts w:cs="Times New Roman"/>
          <w:szCs w:val="24"/>
          <w:lang w:val="en-GB"/>
        </w:rPr>
        <w:t>,</w:t>
      </w:r>
      <w:r>
        <w:rPr>
          <w:rFonts w:cs="Times New Roman"/>
          <w:szCs w:val="24"/>
          <w:lang w:val="en-GB"/>
        </w:rPr>
        <w:t xml:space="preserve"> while business in the European home market is to continue to grow.</w:t>
      </w:r>
    </w:p>
    <w:p w:rsidR="00E549D9" w:rsidRPr="007C56C6" w:rsidRDefault="00E549D9">
      <w:pPr>
        <w:pStyle w:val="MMFlietext"/>
        <w:rPr>
          <w:rFonts w:cs="Times New Roman"/>
          <w:lang w:val="en-US"/>
        </w:rPr>
      </w:pPr>
      <w:r w:rsidRPr="007C56C6">
        <w:rPr>
          <w:rFonts w:cs="Times New Roman"/>
          <w:i/>
          <w:noProof/>
          <w:lang w:val="en-US"/>
        </w:rPr>
        <w:t>(6.</w:t>
      </w:r>
      <w:r w:rsidR="007C56C6">
        <w:rPr>
          <w:rFonts w:cs="Times New Roman"/>
          <w:i/>
          <w:noProof/>
          <w:lang w:val="en-US"/>
        </w:rPr>
        <w:t>695</w:t>
      </w:r>
      <w:r w:rsidRPr="007C56C6">
        <w:rPr>
          <w:rFonts w:cs="Times New Roman"/>
          <w:i/>
          <w:noProof/>
          <w:lang w:val="en-US"/>
        </w:rPr>
        <w:t xml:space="preserve"> </w:t>
      </w:r>
      <w:r w:rsidR="00A460D5" w:rsidRPr="007C56C6">
        <w:rPr>
          <w:rFonts w:cs="Times New Roman"/>
          <w:i/>
          <w:noProof/>
          <w:lang w:val="en-US"/>
        </w:rPr>
        <w:t>characters incl. blanks</w:t>
      </w:r>
      <w:r w:rsidRPr="007C56C6">
        <w:rPr>
          <w:rFonts w:cs="Times New Roman"/>
          <w:i/>
          <w:noProof/>
          <w:lang w:val="en-US"/>
        </w:rPr>
        <w:t>)</w:t>
      </w:r>
    </w:p>
    <w:p w:rsidR="00E549D9" w:rsidRPr="007C56C6" w:rsidRDefault="00A460D5">
      <w:pPr>
        <w:pStyle w:val="MMKurzprofilberschrift"/>
        <w:spacing w:after="120"/>
        <w:rPr>
          <w:rFonts w:cs="Times New Roman"/>
          <w:szCs w:val="24"/>
          <w:lang w:val="en-US"/>
        </w:rPr>
      </w:pPr>
      <w:r w:rsidRPr="008218D9">
        <w:rPr>
          <w:rFonts w:cs="Times New Roman"/>
          <w:szCs w:val="24"/>
          <w:lang w:val="en-GB"/>
        </w:rPr>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276"/>
        <w:gridCol w:w="1276"/>
        <w:gridCol w:w="1276"/>
      </w:tblGrid>
      <w:tr w:rsidR="00E549D9" w:rsidTr="00A460D5">
        <w:tc>
          <w:tcPr>
            <w:tcW w:w="4219" w:type="dxa"/>
          </w:tcPr>
          <w:p w:rsidR="00E549D9" w:rsidRDefault="00C52B51">
            <w:pPr>
              <w:tabs>
                <w:tab w:val="left" w:pos="8505"/>
              </w:tabs>
              <w:rPr>
                <w:rFonts w:ascii="Arial" w:hAnsi="Arial"/>
                <w:b/>
                <w:sz w:val="18"/>
              </w:rPr>
            </w:pPr>
            <w:r>
              <w:rPr>
                <w:rFonts w:ascii="Arial" w:hAnsi="Arial" w:cs="Arial"/>
                <w:b/>
                <w:sz w:val="18"/>
                <w:szCs w:val="18"/>
              </w:rPr>
              <w:t xml:space="preserve">Group </w:t>
            </w:r>
            <w:proofErr w:type="spellStart"/>
            <w:r>
              <w:rPr>
                <w:rFonts w:ascii="Arial" w:hAnsi="Arial" w:cs="Arial"/>
                <w:b/>
                <w:sz w:val="18"/>
                <w:szCs w:val="18"/>
              </w:rPr>
              <w:t>k</w:t>
            </w:r>
            <w:r w:rsidRPr="00DF6351">
              <w:rPr>
                <w:rFonts w:ascii="Arial" w:hAnsi="Arial" w:cs="Arial"/>
                <w:b/>
                <w:sz w:val="18"/>
                <w:szCs w:val="18"/>
              </w:rPr>
              <w:t>e</w:t>
            </w:r>
            <w:r>
              <w:rPr>
                <w:rFonts w:ascii="Arial" w:hAnsi="Arial" w:cs="Arial"/>
                <w:b/>
                <w:sz w:val="18"/>
                <w:szCs w:val="18"/>
              </w:rPr>
              <w:t>y</w:t>
            </w:r>
            <w:proofErr w:type="spellEnd"/>
            <w:r>
              <w:rPr>
                <w:rFonts w:ascii="Arial" w:hAnsi="Arial" w:cs="Arial"/>
                <w:b/>
                <w:sz w:val="18"/>
                <w:szCs w:val="18"/>
              </w:rPr>
              <w:t xml:space="preserve"> </w:t>
            </w:r>
            <w:proofErr w:type="spellStart"/>
            <w:r>
              <w:rPr>
                <w:rFonts w:ascii="Arial" w:hAnsi="Arial" w:cs="Arial"/>
                <w:b/>
                <w:sz w:val="18"/>
                <w:szCs w:val="18"/>
              </w:rPr>
              <w:t>figures</w:t>
            </w:r>
            <w:proofErr w:type="spellEnd"/>
          </w:p>
        </w:tc>
        <w:tc>
          <w:tcPr>
            <w:tcW w:w="1276" w:type="dxa"/>
          </w:tcPr>
          <w:p w:rsidR="00E549D9" w:rsidRDefault="00E549D9">
            <w:pPr>
              <w:tabs>
                <w:tab w:val="left" w:pos="8505"/>
              </w:tabs>
              <w:rPr>
                <w:rFonts w:ascii="Arial" w:hAnsi="Arial"/>
                <w:b/>
                <w:sz w:val="18"/>
              </w:rPr>
            </w:pPr>
            <w:r>
              <w:rPr>
                <w:rFonts w:ascii="Arial" w:hAnsi="Arial"/>
                <w:b/>
                <w:sz w:val="18"/>
              </w:rPr>
              <w:t>2013</w:t>
            </w:r>
          </w:p>
        </w:tc>
        <w:tc>
          <w:tcPr>
            <w:tcW w:w="1276" w:type="dxa"/>
          </w:tcPr>
          <w:p w:rsidR="00E549D9" w:rsidRDefault="00E549D9">
            <w:pPr>
              <w:tabs>
                <w:tab w:val="left" w:pos="8505"/>
              </w:tabs>
              <w:rPr>
                <w:rFonts w:ascii="Arial" w:hAnsi="Arial"/>
                <w:b/>
                <w:sz w:val="18"/>
              </w:rPr>
            </w:pPr>
            <w:r>
              <w:rPr>
                <w:rFonts w:ascii="Arial" w:hAnsi="Arial"/>
                <w:b/>
                <w:sz w:val="18"/>
              </w:rPr>
              <w:t>2012</w:t>
            </w:r>
          </w:p>
        </w:tc>
        <w:tc>
          <w:tcPr>
            <w:tcW w:w="1276" w:type="dxa"/>
          </w:tcPr>
          <w:p w:rsidR="00E549D9" w:rsidRDefault="00A460D5" w:rsidP="00A460D5">
            <w:pPr>
              <w:tabs>
                <w:tab w:val="left" w:pos="8505"/>
              </w:tabs>
              <w:ind w:left="-13" w:right="-108"/>
              <w:rPr>
                <w:rFonts w:ascii="Arial" w:hAnsi="Arial"/>
                <w:b/>
                <w:sz w:val="18"/>
              </w:rPr>
            </w:pPr>
            <w:r>
              <w:rPr>
                <w:rFonts w:ascii="Arial" w:hAnsi="Arial"/>
                <w:b/>
                <w:noProof/>
                <w:sz w:val="18"/>
              </w:rPr>
              <w:t>Change</w:t>
            </w:r>
          </w:p>
        </w:tc>
      </w:tr>
      <w:tr w:rsidR="00A460D5" w:rsidRPr="00A460D5" w:rsidTr="00A460D5">
        <w:trPr>
          <w:trHeight w:val="284"/>
        </w:trPr>
        <w:tc>
          <w:tcPr>
            <w:tcW w:w="4219" w:type="dxa"/>
            <w:vAlign w:val="center"/>
          </w:tcPr>
          <w:p w:rsidR="00A460D5" w:rsidRPr="007F68CF" w:rsidRDefault="00A460D5" w:rsidP="00206D3A">
            <w:pPr>
              <w:tabs>
                <w:tab w:val="left" w:pos="8505"/>
              </w:tabs>
              <w:rPr>
                <w:lang w:val="en-GB"/>
              </w:rPr>
            </w:pPr>
            <w:r>
              <w:rPr>
                <w:rFonts w:ascii="Arial" w:hAnsi="Arial"/>
                <w:sz w:val="18"/>
                <w:lang w:val="en-GB"/>
              </w:rPr>
              <w:t>Consolidated s</w:t>
            </w:r>
            <w:r w:rsidRPr="007F68CF">
              <w:rPr>
                <w:rFonts w:ascii="Arial" w:hAnsi="Arial"/>
                <w:sz w:val="18"/>
                <w:lang w:val="en-GB"/>
              </w:rPr>
              <w:t>ales [€ mil</w:t>
            </w:r>
            <w:r>
              <w:rPr>
                <w:rFonts w:ascii="Arial" w:hAnsi="Arial"/>
                <w:sz w:val="18"/>
                <w:lang w:val="en-GB"/>
              </w:rPr>
              <w:t>lion</w:t>
            </w:r>
            <w:r w:rsidRPr="007F68CF">
              <w:rPr>
                <w:rFonts w:ascii="Arial" w:hAnsi="Arial"/>
                <w:sz w:val="18"/>
                <w:lang w:val="en-GB"/>
              </w:rPr>
              <w:t>]</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3,917.9</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3</w:t>
            </w:r>
            <w:r>
              <w:rPr>
                <w:rFonts w:ascii="Arial" w:hAnsi="Arial"/>
                <w:sz w:val="18"/>
                <w:lang w:val="en-US"/>
              </w:rPr>
              <w:t>,</w:t>
            </w:r>
            <w:r w:rsidRPr="00A460D5">
              <w:rPr>
                <w:rFonts w:ascii="Arial" w:hAnsi="Arial"/>
                <w:sz w:val="18"/>
                <w:lang w:val="en-US"/>
              </w:rPr>
              <w:t>809</w:t>
            </w:r>
            <w:r>
              <w:rPr>
                <w:rFonts w:ascii="Arial" w:hAnsi="Arial"/>
                <w:sz w:val="18"/>
                <w:lang w:val="en-US"/>
              </w:rPr>
              <w:t>.</w:t>
            </w:r>
            <w:r w:rsidRPr="00A460D5">
              <w:rPr>
                <w:rFonts w:ascii="Arial" w:hAnsi="Arial"/>
                <w:sz w:val="18"/>
                <w:lang w:val="en-US"/>
              </w:rPr>
              <w:t>0</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+2</w:t>
            </w:r>
            <w:r>
              <w:rPr>
                <w:rFonts w:ascii="Arial" w:hAnsi="Arial"/>
                <w:sz w:val="18"/>
                <w:lang w:val="en-US"/>
              </w:rPr>
              <w:t>.</w:t>
            </w:r>
            <w:r w:rsidRPr="00A460D5">
              <w:rPr>
                <w:rFonts w:ascii="Arial" w:hAnsi="Arial"/>
                <w:sz w:val="18"/>
                <w:lang w:val="en-US"/>
              </w:rPr>
              <w:t>9 %</w:t>
            </w:r>
          </w:p>
        </w:tc>
      </w:tr>
      <w:tr w:rsidR="00A460D5" w:rsidRPr="00A460D5" w:rsidTr="00A460D5">
        <w:trPr>
          <w:trHeight w:val="284"/>
        </w:trPr>
        <w:tc>
          <w:tcPr>
            <w:tcW w:w="4219" w:type="dxa"/>
            <w:vAlign w:val="center"/>
          </w:tcPr>
          <w:p w:rsidR="00A460D5" w:rsidRPr="007F68CF" w:rsidRDefault="00A460D5" w:rsidP="00206D3A">
            <w:pPr>
              <w:tabs>
                <w:tab w:val="left" w:pos="8505"/>
              </w:tabs>
              <w:rPr>
                <w:lang w:val="en-GB"/>
              </w:rPr>
            </w:pPr>
            <w:r w:rsidRPr="007F68CF">
              <w:rPr>
                <w:rFonts w:ascii="Arial" w:hAnsi="Arial"/>
                <w:sz w:val="18"/>
                <w:lang w:val="en-GB"/>
              </w:rPr>
              <w:t xml:space="preserve">EBIT [€ </w:t>
            </w:r>
            <w:r>
              <w:rPr>
                <w:rFonts w:ascii="Arial" w:hAnsi="Arial"/>
                <w:sz w:val="18"/>
                <w:lang w:val="en-GB"/>
              </w:rPr>
              <w:t>million</w:t>
            </w:r>
            <w:r w:rsidRPr="007F68CF">
              <w:rPr>
                <w:rFonts w:ascii="Arial" w:hAnsi="Arial"/>
                <w:sz w:val="18"/>
                <w:lang w:val="en-GB"/>
              </w:rPr>
              <w:t>]</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163</w:t>
            </w:r>
            <w:r>
              <w:rPr>
                <w:rFonts w:ascii="Arial" w:hAnsi="Arial"/>
                <w:sz w:val="18"/>
                <w:lang w:val="en-US"/>
              </w:rPr>
              <w:t>.</w:t>
            </w:r>
            <w:r w:rsidRPr="00A460D5">
              <w:rPr>
                <w:rFonts w:ascii="Arial" w:hAnsi="Arial"/>
                <w:sz w:val="18"/>
                <w:lang w:val="en-US"/>
              </w:rPr>
              <w:t>1</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237</w:t>
            </w:r>
            <w:r>
              <w:rPr>
                <w:rFonts w:ascii="Arial" w:hAnsi="Arial"/>
                <w:sz w:val="18"/>
                <w:lang w:val="en-US"/>
              </w:rPr>
              <w:t>.</w:t>
            </w:r>
            <w:r w:rsidRPr="00A460D5">
              <w:rPr>
                <w:rFonts w:ascii="Arial" w:hAnsi="Arial"/>
                <w:sz w:val="18"/>
                <w:lang w:val="en-US"/>
              </w:rPr>
              <w:t xml:space="preserve">9 </w:t>
            </w:r>
            <w:r w:rsidRPr="00A460D5">
              <w:rPr>
                <w:rFonts w:ascii="Arial" w:hAnsi="Arial"/>
                <w:sz w:val="18"/>
                <w:vertAlign w:val="superscript"/>
                <w:lang w:val="en-US"/>
              </w:rPr>
              <w:t>(3)</w:t>
            </w:r>
          </w:p>
        </w:tc>
        <w:tc>
          <w:tcPr>
            <w:tcW w:w="1276" w:type="dxa"/>
            <w:vAlign w:val="center"/>
          </w:tcPr>
          <w:p w:rsidR="00A460D5" w:rsidRPr="00A460D5" w:rsidRDefault="00D63C74" w:rsidP="00A460D5">
            <w:pPr>
              <w:tabs>
                <w:tab w:val="left" w:pos="8505"/>
              </w:tabs>
              <w:rPr>
                <w:rFonts w:ascii="Arial" w:hAnsi="Arial"/>
                <w:sz w:val="18"/>
                <w:lang w:val="en-US"/>
              </w:rPr>
            </w:pPr>
            <w:r>
              <w:rPr>
                <w:rFonts w:ascii="Arial" w:hAnsi="Arial"/>
                <w:sz w:val="18"/>
                <w:lang w:val="en-US"/>
              </w:rPr>
              <w:t>(</w:t>
            </w:r>
            <w:r w:rsidR="00A460D5" w:rsidRPr="00A460D5">
              <w:rPr>
                <w:rFonts w:ascii="Arial" w:hAnsi="Arial"/>
                <w:sz w:val="18"/>
                <w:lang w:val="en-US"/>
              </w:rPr>
              <w:t>31</w:t>
            </w:r>
            <w:r w:rsidR="00A460D5">
              <w:rPr>
                <w:rFonts w:ascii="Arial" w:hAnsi="Arial"/>
                <w:sz w:val="18"/>
                <w:lang w:val="en-US"/>
              </w:rPr>
              <w:t>.</w:t>
            </w:r>
            <w:r w:rsidR="00A460D5" w:rsidRPr="00A460D5">
              <w:rPr>
                <w:rFonts w:ascii="Arial" w:hAnsi="Arial"/>
                <w:sz w:val="18"/>
                <w:lang w:val="en-US"/>
              </w:rPr>
              <w:t>4</w:t>
            </w:r>
            <w:r>
              <w:rPr>
                <w:rFonts w:ascii="Arial" w:hAnsi="Arial"/>
                <w:sz w:val="18"/>
                <w:lang w:val="en-US"/>
              </w:rPr>
              <w:t>)</w:t>
            </w:r>
            <w:r w:rsidR="00A460D5" w:rsidRPr="00A460D5">
              <w:rPr>
                <w:rFonts w:ascii="Arial" w:hAnsi="Arial"/>
                <w:sz w:val="18"/>
                <w:lang w:val="en-US"/>
              </w:rPr>
              <w:t xml:space="preserve"> %</w:t>
            </w:r>
          </w:p>
        </w:tc>
      </w:tr>
      <w:tr w:rsidR="00E549D9" w:rsidRPr="00A460D5" w:rsidTr="00A460D5">
        <w:trPr>
          <w:trHeight w:val="284"/>
        </w:trPr>
        <w:tc>
          <w:tcPr>
            <w:tcW w:w="4219" w:type="dxa"/>
            <w:vAlign w:val="center"/>
          </w:tcPr>
          <w:p w:rsidR="00E549D9" w:rsidRPr="00A460D5" w:rsidRDefault="00A460D5" w:rsidP="00A460D5">
            <w:pPr>
              <w:tabs>
                <w:tab w:val="left" w:pos="8505"/>
              </w:tabs>
              <w:rPr>
                <w:rFonts w:ascii="Arial" w:hAnsi="Arial"/>
                <w:sz w:val="18"/>
                <w:lang w:val="en-US"/>
              </w:rPr>
            </w:pPr>
            <w:r w:rsidRPr="00A460D5">
              <w:rPr>
                <w:rFonts w:ascii="Arial" w:hAnsi="Arial"/>
                <w:noProof/>
                <w:sz w:val="18"/>
                <w:lang w:val="en-US"/>
              </w:rPr>
              <w:t>Adjusted</w:t>
            </w:r>
            <w:r w:rsidR="00E549D9" w:rsidRPr="00A460D5">
              <w:rPr>
                <w:rFonts w:ascii="Arial" w:hAnsi="Arial"/>
                <w:noProof/>
                <w:sz w:val="18"/>
                <w:lang w:val="en-US"/>
              </w:rPr>
              <w:t xml:space="preserve"> EBIT </w:t>
            </w:r>
            <w:r w:rsidR="00E549D9" w:rsidRPr="00A460D5">
              <w:rPr>
                <w:rFonts w:ascii="Arial" w:hAnsi="Arial"/>
                <w:noProof/>
                <w:sz w:val="18"/>
                <w:vertAlign w:val="superscript"/>
                <w:lang w:val="en-US"/>
              </w:rPr>
              <w:t>(1)</w:t>
            </w:r>
            <w:r w:rsidR="00E549D9" w:rsidRPr="00A460D5">
              <w:rPr>
                <w:rFonts w:ascii="Arial" w:hAnsi="Arial"/>
                <w:noProof/>
                <w:sz w:val="18"/>
                <w:lang w:val="en-US"/>
              </w:rPr>
              <w:t xml:space="preserve"> </w:t>
            </w:r>
            <w:r w:rsidRPr="007F68CF">
              <w:rPr>
                <w:rFonts w:ascii="Arial" w:hAnsi="Arial"/>
                <w:sz w:val="18"/>
                <w:lang w:val="en-GB"/>
              </w:rPr>
              <w:t xml:space="preserve">[€ </w:t>
            </w:r>
            <w:r>
              <w:rPr>
                <w:rFonts w:ascii="Arial" w:hAnsi="Arial"/>
                <w:sz w:val="18"/>
                <w:lang w:val="en-GB"/>
              </w:rPr>
              <w:t>million</w:t>
            </w:r>
            <w:r w:rsidRPr="007F68CF">
              <w:rPr>
                <w:rFonts w:ascii="Arial" w:hAnsi="Arial"/>
                <w:sz w:val="18"/>
                <w:lang w:val="en-GB"/>
              </w:rPr>
              <w:t>]</w:t>
            </w:r>
          </w:p>
        </w:tc>
        <w:tc>
          <w:tcPr>
            <w:tcW w:w="1276" w:type="dxa"/>
            <w:vAlign w:val="center"/>
          </w:tcPr>
          <w:p w:rsidR="00E549D9" w:rsidRPr="00A460D5" w:rsidRDefault="00E549D9" w:rsidP="00A460D5">
            <w:pPr>
              <w:tabs>
                <w:tab w:val="left" w:pos="8505"/>
              </w:tabs>
              <w:rPr>
                <w:rFonts w:ascii="Arial" w:hAnsi="Arial"/>
                <w:sz w:val="18"/>
                <w:lang w:val="en-US"/>
              </w:rPr>
            </w:pPr>
            <w:r w:rsidRPr="00A460D5">
              <w:rPr>
                <w:rFonts w:ascii="Arial" w:hAnsi="Arial"/>
                <w:sz w:val="18"/>
                <w:lang w:val="en-US"/>
              </w:rPr>
              <w:t>198</w:t>
            </w:r>
            <w:r w:rsidR="00A460D5">
              <w:rPr>
                <w:rFonts w:ascii="Arial" w:hAnsi="Arial"/>
                <w:sz w:val="18"/>
                <w:lang w:val="en-US"/>
              </w:rPr>
              <w:t>.</w:t>
            </w:r>
            <w:r w:rsidRPr="00A460D5">
              <w:rPr>
                <w:rFonts w:ascii="Arial" w:hAnsi="Arial"/>
                <w:sz w:val="18"/>
                <w:lang w:val="en-US"/>
              </w:rPr>
              <w:t>7</w:t>
            </w:r>
          </w:p>
        </w:tc>
        <w:tc>
          <w:tcPr>
            <w:tcW w:w="1276" w:type="dxa"/>
            <w:vAlign w:val="center"/>
          </w:tcPr>
          <w:p w:rsidR="00E549D9" w:rsidRPr="00A460D5" w:rsidRDefault="00E549D9" w:rsidP="00A460D5">
            <w:pPr>
              <w:tabs>
                <w:tab w:val="left" w:pos="8505"/>
              </w:tabs>
              <w:rPr>
                <w:rFonts w:ascii="Arial" w:hAnsi="Arial"/>
                <w:sz w:val="18"/>
                <w:lang w:val="en-US"/>
              </w:rPr>
            </w:pPr>
            <w:r w:rsidRPr="00A460D5">
              <w:rPr>
                <w:rFonts w:ascii="Arial" w:hAnsi="Arial"/>
                <w:sz w:val="18"/>
                <w:lang w:val="en-US"/>
              </w:rPr>
              <w:t>227</w:t>
            </w:r>
            <w:r w:rsidR="00A460D5">
              <w:rPr>
                <w:rFonts w:ascii="Arial" w:hAnsi="Arial"/>
                <w:sz w:val="18"/>
                <w:lang w:val="en-US"/>
              </w:rPr>
              <w:t>.</w:t>
            </w:r>
            <w:r w:rsidRPr="00A460D5">
              <w:rPr>
                <w:rFonts w:ascii="Arial" w:hAnsi="Arial"/>
                <w:sz w:val="18"/>
                <w:lang w:val="en-US"/>
              </w:rPr>
              <w:t xml:space="preserve">5 </w:t>
            </w:r>
            <w:r w:rsidRPr="00A460D5">
              <w:rPr>
                <w:rFonts w:ascii="Arial" w:hAnsi="Arial"/>
                <w:sz w:val="18"/>
                <w:vertAlign w:val="superscript"/>
                <w:lang w:val="en-US"/>
              </w:rPr>
              <w:t>(3)</w:t>
            </w:r>
          </w:p>
        </w:tc>
        <w:tc>
          <w:tcPr>
            <w:tcW w:w="1276" w:type="dxa"/>
            <w:vAlign w:val="center"/>
          </w:tcPr>
          <w:p w:rsidR="00E549D9" w:rsidRPr="00A460D5" w:rsidRDefault="00D63C74" w:rsidP="00D63C74">
            <w:pPr>
              <w:tabs>
                <w:tab w:val="left" w:pos="8505"/>
              </w:tabs>
              <w:rPr>
                <w:rFonts w:ascii="Arial" w:hAnsi="Arial"/>
                <w:sz w:val="18"/>
                <w:lang w:val="en-US"/>
              </w:rPr>
            </w:pPr>
            <w:r>
              <w:rPr>
                <w:rFonts w:ascii="Arial" w:hAnsi="Arial"/>
                <w:sz w:val="18"/>
                <w:lang w:val="en-US"/>
              </w:rPr>
              <w:t>(</w:t>
            </w:r>
            <w:r w:rsidR="00E549D9" w:rsidRPr="00A460D5">
              <w:rPr>
                <w:rFonts w:ascii="Arial" w:hAnsi="Arial"/>
                <w:sz w:val="18"/>
                <w:lang w:val="en-US"/>
              </w:rPr>
              <w:t>12</w:t>
            </w:r>
            <w:r w:rsidR="00A460D5">
              <w:rPr>
                <w:rFonts w:ascii="Arial" w:hAnsi="Arial"/>
                <w:sz w:val="18"/>
                <w:lang w:val="en-US"/>
              </w:rPr>
              <w:t>.</w:t>
            </w:r>
            <w:r w:rsidR="00E549D9" w:rsidRPr="00A460D5">
              <w:rPr>
                <w:rFonts w:ascii="Arial" w:hAnsi="Arial"/>
                <w:sz w:val="18"/>
                <w:lang w:val="en-US"/>
              </w:rPr>
              <w:t>7</w:t>
            </w:r>
            <w:r>
              <w:rPr>
                <w:rFonts w:ascii="Arial" w:hAnsi="Arial"/>
                <w:sz w:val="18"/>
                <w:lang w:val="en-US"/>
              </w:rPr>
              <w:t>)</w:t>
            </w:r>
            <w:r w:rsidR="00E549D9" w:rsidRPr="00A460D5">
              <w:rPr>
                <w:rFonts w:ascii="Arial" w:hAnsi="Arial"/>
                <w:sz w:val="18"/>
                <w:lang w:val="en-US"/>
              </w:rPr>
              <w:t xml:space="preserve"> %</w:t>
            </w:r>
          </w:p>
        </w:tc>
      </w:tr>
      <w:tr w:rsidR="00A460D5" w:rsidRPr="00A460D5" w:rsidTr="00A460D5">
        <w:trPr>
          <w:trHeight w:val="284"/>
        </w:trPr>
        <w:tc>
          <w:tcPr>
            <w:tcW w:w="4219" w:type="dxa"/>
            <w:vAlign w:val="center"/>
          </w:tcPr>
          <w:p w:rsidR="00A460D5" w:rsidRPr="007F68CF" w:rsidRDefault="00A460D5" w:rsidP="00206D3A">
            <w:pPr>
              <w:tabs>
                <w:tab w:val="left" w:pos="8505"/>
              </w:tabs>
              <w:rPr>
                <w:lang w:val="en-GB"/>
              </w:rPr>
            </w:pPr>
            <w:r w:rsidRPr="009E06E1">
              <w:rPr>
                <w:rFonts w:ascii="Arial" w:hAnsi="Arial"/>
                <w:sz w:val="18"/>
                <w:lang w:val="en-GB"/>
              </w:rPr>
              <w:t>EBIT margi</w:t>
            </w:r>
            <w:r>
              <w:rPr>
                <w:rFonts w:ascii="Arial" w:hAnsi="Arial"/>
                <w:sz w:val="18"/>
                <w:lang w:val="en-GB"/>
              </w:rPr>
              <w:t>n [%]</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4</w:t>
            </w:r>
            <w:r>
              <w:rPr>
                <w:rFonts w:ascii="Arial" w:hAnsi="Arial"/>
                <w:sz w:val="18"/>
                <w:lang w:val="en-US"/>
              </w:rPr>
              <w:t>.</w:t>
            </w:r>
            <w:r w:rsidRPr="00A460D5">
              <w:rPr>
                <w:rFonts w:ascii="Arial" w:hAnsi="Arial"/>
                <w:sz w:val="18"/>
                <w:lang w:val="en-US"/>
              </w:rPr>
              <w:t>2</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6</w:t>
            </w:r>
            <w:r>
              <w:rPr>
                <w:rFonts w:ascii="Arial" w:hAnsi="Arial"/>
                <w:sz w:val="18"/>
                <w:lang w:val="en-US"/>
              </w:rPr>
              <w:t>.</w:t>
            </w:r>
            <w:r w:rsidRPr="00A460D5">
              <w:rPr>
                <w:rFonts w:ascii="Arial" w:hAnsi="Arial"/>
                <w:sz w:val="18"/>
                <w:lang w:val="en-US"/>
              </w:rPr>
              <w:t>2</w:t>
            </w:r>
          </w:p>
        </w:tc>
        <w:tc>
          <w:tcPr>
            <w:tcW w:w="1276" w:type="dxa"/>
            <w:vAlign w:val="center"/>
          </w:tcPr>
          <w:p w:rsidR="00A460D5" w:rsidRPr="00A460D5" w:rsidRDefault="00A460D5">
            <w:pPr>
              <w:tabs>
                <w:tab w:val="left" w:pos="8505"/>
              </w:tabs>
              <w:rPr>
                <w:rFonts w:ascii="Arial" w:hAnsi="Arial"/>
                <w:sz w:val="18"/>
                <w:lang w:val="en-US"/>
              </w:rPr>
            </w:pPr>
            <w:r w:rsidRPr="00A460D5">
              <w:rPr>
                <w:rFonts w:ascii="Arial" w:hAnsi="Arial"/>
                <w:sz w:val="18"/>
                <w:lang w:val="en-US"/>
              </w:rPr>
              <w:t>--</w:t>
            </w:r>
          </w:p>
        </w:tc>
      </w:tr>
      <w:tr w:rsidR="00A460D5" w:rsidRPr="00A460D5" w:rsidTr="00A460D5">
        <w:trPr>
          <w:trHeight w:val="284"/>
        </w:trPr>
        <w:tc>
          <w:tcPr>
            <w:tcW w:w="4219" w:type="dxa"/>
            <w:vAlign w:val="center"/>
          </w:tcPr>
          <w:p w:rsidR="00A460D5" w:rsidRPr="007F68CF" w:rsidRDefault="00A460D5" w:rsidP="00206D3A">
            <w:pPr>
              <w:tabs>
                <w:tab w:val="left" w:pos="8505"/>
              </w:tabs>
              <w:rPr>
                <w:lang w:val="en-GB"/>
              </w:rPr>
            </w:pPr>
            <w:r w:rsidRPr="007F68CF">
              <w:rPr>
                <w:rFonts w:ascii="Arial" w:hAnsi="Arial"/>
                <w:sz w:val="18"/>
                <w:lang w:val="en-GB"/>
              </w:rPr>
              <w:t xml:space="preserve">Consolidated net income [€ </w:t>
            </w:r>
            <w:r>
              <w:rPr>
                <w:rFonts w:ascii="Arial" w:hAnsi="Arial"/>
                <w:sz w:val="18"/>
                <w:lang w:val="en-GB"/>
              </w:rPr>
              <w:t>million</w:t>
            </w:r>
            <w:r w:rsidRPr="007F68CF">
              <w:rPr>
                <w:rFonts w:ascii="Arial" w:hAnsi="Arial"/>
                <w:sz w:val="18"/>
                <w:lang w:val="en-GB"/>
              </w:rPr>
              <w:t>]</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105.9</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157</w:t>
            </w:r>
            <w:r>
              <w:rPr>
                <w:rFonts w:ascii="Arial" w:hAnsi="Arial"/>
                <w:sz w:val="18"/>
                <w:lang w:val="en-US"/>
              </w:rPr>
              <w:t>.</w:t>
            </w:r>
            <w:r w:rsidRPr="00A460D5">
              <w:rPr>
                <w:rFonts w:ascii="Arial" w:hAnsi="Arial"/>
                <w:sz w:val="18"/>
                <w:lang w:val="en-US"/>
              </w:rPr>
              <w:t xml:space="preserve">0 </w:t>
            </w:r>
            <w:r w:rsidRPr="00A460D5">
              <w:rPr>
                <w:rFonts w:ascii="Arial" w:hAnsi="Arial"/>
                <w:sz w:val="18"/>
                <w:vertAlign w:val="superscript"/>
                <w:lang w:val="en-US"/>
              </w:rPr>
              <w:t>(3)</w:t>
            </w:r>
            <w:r w:rsidRPr="00A460D5">
              <w:rPr>
                <w:rFonts w:ascii="Arial" w:hAnsi="Arial"/>
                <w:sz w:val="18"/>
                <w:lang w:val="en-US"/>
              </w:rPr>
              <w:t xml:space="preserve"> </w:t>
            </w:r>
          </w:p>
        </w:tc>
        <w:tc>
          <w:tcPr>
            <w:tcW w:w="1276" w:type="dxa"/>
            <w:vAlign w:val="center"/>
          </w:tcPr>
          <w:p w:rsidR="00A460D5" w:rsidRPr="00A460D5" w:rsidRDefault="00D63C74" w:rsidP="00A460D5">
            <w:pPr>
              <w:tabs>
                <w:tab w:val="left" w:pos="8505"/>
              </w:tabs>
              <w:rPr>
                <w:rFonts w:ascii="Arial" w:hAnsi="Arial"/>
                <w:sz w:val="18"/>
                <w:lang w:val="en-US"/>
              </w:rPr>
            </w:pPr>
            <w:r>
              <w:rPr>
                <w:rFonts w:ascii="Arial" w:hAnsi="Arial"/>
                <w:sz w:val="18"/>
                <w:lang w:val="en-US"/>
              </w:rPr>
              <w:t>(</w:t>
            </w:r>
            <w:r w:rsidR="00A460D5" w:rsidRPr="00A460D5">
              <w:rPr>
                <w:rFonts w:ascii="Arial" w:hAnsi="Arial"/>
                <w:sz w:val="18"/>
                <w:lang w:val="en-US"/>
              </w:rPr>
              <w:t>32.6</w:t>
            </w:r>
            <w:r>
              <w:rPr>
                <w:rFonts w:ascii="Arial" w:hAnsi="Arial"/>
                <w:sz w:val="18"/>
                <w:lang w:val="en-US"/>
              </w:rPr>
              <w:t>)</w:t>
            </w:r>
            <w:r w:rsidR="00A460D5" w:rsidRPr="00A460D5">
              <w:rPr>
                <w:rFonts w:ascii="Arial" w:hAnsi="Arial"/>
                <w:sz w:val="18"/>
                <w:lang w:val="en-US"/>
              </w:rPr>
              <w:t xml:space="preserve"> %</w:t>
            </w:r>
          </w:p>
        </w:tc>
      </w:tr>
      <w:tr w:rsidR="00E549D9" w:rsidRPr="00A460D5" w:rsidTr="00A460D5">
        <w:trPr>
          <w:trHeight w:val="284"/>
        </w:trPr>
        <w:tc>
          <w:tcPr>
            <w:tcW w:w="4219" w:type="dxa"/>
            <w:vAlign w:val="center"/>
          </w:tcPr>
          <w:p w:rsidR="00E549D9" w:rsidRPr="00A460D5" w:rsidRDefault="00E549D9" w:rsidP="00A460D5">
            <w:pPr>
              <w:tabs>
                <w:tab w:val="left" w:pos="8505"/>
              </w:tabs>
              <w:rPr>
                <w:rFonts w:ascii="Arial" w:hAnsi="Arial"/>
                <w:sz w:val="18"/>
                <w:lang w:val="en-US"/>
              </w:rPr>
            </w:pPr>
            <w:r w:rsidRPr="00A460D5">
              <w:rPr>
                <w:rFonts w:ascii="Arial" w:hAnsi="Arial"/>
                <w:noProof/>
                <w:sz w:val="18"/>
                <w:lang w:val="en-US"/>
              </w:rPr>
              <w:t xml:space="preserve">Free </w:t>
            </w:r>
            <w:r w:rsidR="00A460D5" w:rsidRPr="00A460D5">
              <w:rPr>
                <w:rFonts w:ascii="Arial" w:hAnsi="Arial"/>
                <w:noProof/>
                <w:sz w:val="18"/>
                <w:lang w:val="en-US"/>
              </w:rPr>
              <w:t>c</w:t>
            </w:r>
            <w:r w:rsidRPr="00A460D5">
              <w:rPr>
                <w:rFonts w:ascii="Arial" w:hAnsi="Arial"/>
                <w:noProof/>
                <w:sz w:val="18"/>
                <w:lang w:val="en-US"/>
              </w:rPr>
              <w:t>ash</w:t>
            </w:r>
            <w:r w:rsidR="00A460D5" w:rsidRPr="00A460D5">
              <w:rPr>
                <w:rFonts w:ascii="Arial" w:hAnsi="Arial"/>
                <w:noProof/>
                <w:sz w:val="18"/>
                <w:lang w:val="en-US"/>
              </w:rPr>
              <w:t xml:space="preserve"> </w:t>
            </w:r>
            <w:r w:rsidRPr="00A460D5">
              <w:rPr>
                <w:rFonts w:ascii="Arial" w:hAnsi="Arial"/>
                <w:noProof/>
                <w:sz w:val="18"/>
                <w:lang w:val="en-US"/>
              </w:rPr>
              <w:t xml:space="preserve">flow </w:t>
            </w:r>
            <w:r w:rsidRPr="00A460D5">
              <w:rPr>
                <w:rFonts w:ascii="Arial" w:hAnsi="Arial"/>
                <w:noProof/>
                <w:sz w:val="18"/>
                <w:vertAlign w:val="superscript"/>
                <w:lang w:val="en-US"/>
              </w:rPr>
              <w:t xml:space="preserve">(2) </w:t>
            </w:r>
            <w:r w:rsidRPr="00A460D5">
              <w:rPr>
                <w:rFonts w:ascii="Arial" w:hAnsi="Arial"/>
                <w:noProof/>
                <w:sz w:val="18"/>
                <w:lang w:val="en-US"/>
              </w:rPr>
              <w:t>[</w:t>
            </w:r>
            <w:r w:rsidR="00A460D5" w:rsidRPr="007F68CF">
              <w:rPr>
                <w:rFonts w:ascii="Arial" w:hAnsi="Arial"/>
                <w:sz w:val="18"/>
                <w:lang w:val="en-GB"/>
              </w:rPr>
              <w:t xml:space="preserve">€ </w:t>
            </w:r>
            <w:r w:rsidR="00A460D5">
              <w:rPr>
                <w:rFonts w:ascii="Arial" w:hAnsi="Arial"/>
                <w:sz w:val="18"/>
                <w:lang w:val="en-GB"/>
              </w:rPr>
              <w:t>million</w:t>
            </w:r>
            <w:r w:rsidR="00A460D5" w:rsidRPr="007F68CF">
              <w:rPr>
                <w:rFonts w:ascii="Arial" w:hAnsi="Arial"/>
                <w:sz w:val="18"/>
                <w:lang w:val="en-GB"/>
              </w:rPr>
              <w:t>]</w:t>
            </w:r>
          </w:p>
        </w:tc>
        <w:tc>
          <w:tcPr>
            <w:tcW w:w="1276" w:type="dxa"/>
            <w:vAlign w:val="center"/>
          </w:tcPr>
          <w:p w:rsidR="00E549D9" w:rsidRPr="00A460D5" w:rsidRDefault="00E549D9" w:rsidP="00A460D5">
            <w:pPr>
              <w:tabs>
                <w:tab w:val="left" w:pos="8505"/>
              </w:tabs>
              <w:rPr>
                <w:rFonts w:ascii="Arial" w:hAnsi="Arial"/>
                <w:sz w:val="18"/>
                <w:lang w:val="en-US"/>
              </w:rPr>
            </w:pPr>
            <w:r w:rsidRPr="00A460D5">
              <w:rPr>
                <w:rFonts w:ascii="Arial" w:hAnsi="Arial"/>
                <w:sz w:val="18"/>
                <w:lang w:val="en-US"/>
              </w:rPr>
              <w:t>36</w:t>
            </w:r>
            <w:r w:rsidR="00A460D5">
              <w:rPr>
                <w:rFonts w:ascii="Arial" w:hAnsi="Arial"/>
                <w:sz w:val="18"/>
                <w:lang w:val="en-US"/>
              </w:rPr>
              <w:t>.</w:t>
            </w:r>
            <w:r w:rsidRPr="00A460D5">
              <w:rPr>
                <w:rFonts w:ascii="Arial" w:hAnsi="Arial"/>
                <w:sz w:val="18"/>
                <w:lang w:val="en-US"/>
              </w:rPr>
              <w:t>7</w:t>
            </w:r>
          </w:p>
        </w:tc>
        <w:tc>
          <w:tcPr>
            <w:tcW w:w="1276" w:type="dxa"/>
            <w:vAlign w:val="center"/>
          </w:tcPr>
          <w:p w:rsidR="00E549D9" w:rsidRPr="00A460D5" w:rsidRDefault="00E549D9" w:rsidP="00A460D5">
            <w:pPr>
              <w:tabs>
                <w:tab w:val="left" w:pos="8505"/>
              </w:tabs>
              <w:rPr>
                <w:rFonts w:ascii="Arial" w:hAnsi="Arial"/>
                <w:sz w:val="18"/>
                <w:lang w:val="en-US"/>
              </w:rPr>
            </w:pPr>
            <w:r w:rsidRPr="00A460D5">
              <w:rPr>
                <w:rFonts w:ascii="Arial" w:hAnsi="Arial"/>
                <w:sz w:val="18"/>
                <w:lang w:val="en-US"/>
              </w:rPr>
              <w:t>63</w:t>
            </w:r>
            <w:r w:rsidR="00A460D5">
              <w:rPr>
                <w:rFonts w:ascii="Arial" w:hAnsi="Arial"/>
                <w:sz w:val="18"/>
                <w:lang w:val="en-US"/>
              </w:rPr>
              <w:t>.</w:t>
            </w:r>
            <w:r w:rsidRPr="00A460D5">
              <w:rPr>
                <w:rFonts w:ascii="Arial" w:hAnsi="Arial"/>
                <w:sz w:val="18"/>
                <w:lang w:val="en-US"/>
              </w:rPr>
              <w:t>5</w:t>
            </w:r>
          </w:p>
        </w:tc>
        <w:tc>
          <w:tcPr>
            <w:tcW w:w="1276" w:type="dxa"/>
            <w:vAlign w:val="center"/>
          </w:tcPr>
          <w:p w:rsidR="00E549D9" w:rsidRPr="00A460D5" w:rsidRDefault="00D63C74" w:rsidP="00C52B51">
            <w:pPr>
              <w:tabs>
                <w:tab w:val="left" w:pos="8505"/>
              </w:tabs>
              <w:rPr>
                <w:rFonts w:ascii="Arial" w:hAnsi="Arial"/>
                <w:sz w:val="18"/>
                <w:lang w:val="en-US"/>
              </w:rPr>
            </w:pPr>
            <w:r w:rsidRPr="00C52B51">
              <w:rPr>
                <w:rFonts w:ascii="Arial" w:hAnsi="Arial"/>
                <w:sz w:val="18"/>
                <w:lang w:val="en-US"/>
              </w:rPr>
              <w:t>(</w:t>
            </w:r>
            <w:r w:rsidR="00E549D9" w:rsidRPr="00C52B51">
              <w:rPr>
                <w:rFonts w:ascii="Arial" w:hAnsi="Arial"/>
                <w:sz w:val="18"/>
                <w:lang w:val="en-US"/>
              </w:rPr>
              <w:t>42</w:t>
            </w:r>
            <w:r w:rsidR="00A460D5" w:rsidRPr="00C52B51">
              <w:rPr>
                <w:rFonts w:ascii="Arial" w:hAnsi="Arial"/>
                <w:sz w:val="18"/>
                <w:lang w:val="en-US"/>
              </w:rPr>
              <w:t>.</w:t>
            </w:r>
            <w:r w:rsidR="00C52B51" w:rsidRPr="00C52B51">
              <w:rPr>
                <w:rFonts w:ascii="Arial" w:hAnsi="Arial"/>
                <w:sz w:val="18"/>
                <w:lang w:val="en-US"/>
              </w:rPr>
              <w:t>2</w:t>
            </w:r>
            <w:r w:rsidRPr="00C52B51">
              <w:rPr>
                <w:rFonts w:ascii="Arial" w:hAnsi="Arial"/>
                <w:sz w:val="18"/>
                <w:lang w:val="en-US"/>
              </w:rPr>
              <w:t>)</w:t>
            </w:r>
            <w:r w:rsidR="00E549D9" w:rsidRPr="00C52B51">
              <w:rPr>
                <w:rFonts w:ascii="Arial" w:hAnsi="Arial"/>
                <w:sz w:val="18"/>
                <w:lang w:val="en-US"/>
              </w:rPr>
              <w:t xml:space="preserve"> %</w:t>
            </w:r>
          </w:p>
        </w:tc>
      </w:tr>
      <w:tr w:rsidR="00A460D5" w:rsidRPr="00A460D5" w:rsidTr="00A460D5">
        <w:trPr>
          <w:trHeight w:val="284"/>
        </w:trPr>
        <w:tc>
          <w:tcPr>
            <w:tcW w:w="4219" w:type="dxa"/>
            <w:vAlign w:val="center"/>
          </w:tcPr>
          <w:p w:rsidR="00A460D5" w:rsidRPr="0004329A" w:rsidRDefault="00A460D5" w:rsidP="00206D3A">
            <w:pPr>
              <w:tabs>
                <w:tab w:val="left" w:pos="8505"/>
              </w:tabs>
              <w:rPr>
                <w:lang w:val="en-US"/>
              </w:rPr>
            </w:pPr>
            <w:r>
              <w:rPr>
                <w:rFonts w:ascii="Arial" w:hAnsi="Arial"/>
                <w:sz w:val="18"/>
                <w:lang w:val="en-US"/>
              </w:rPr>
              <w:t>Return on capital employed</w:t>
            </w:r>
            <w:r w:rsidRPr="0004329A">
              <w:rPr>
                <w:rFonts w:ascii="Arial" w:hAnsi="Arial"/>
                <w:sz w:val="18"/>
                <w:lang w:val="en-US"/>
              </w:rPr>
              <w:t xml:space="preserve"> [</w:t>
            </w:r>
            <w:r>
              <w:rPr>
                <w:rFonts w:ascii="Arial" w:hAnsi="Arial"/>
                <w:sz w:val="18"/>
                <w:lang w:val="en-US"/>
              </w:rPr>
              <w:t>%</w:t>
            </w:r>
            <w:r w:rsidRPr="0004329A">
              <w:rPr>
                <w:rFonts w:ascii="Arial" w:hAnsi="Arial"/>
                <w:sz w:val="18"/>
                <w:lang w:val="en-US"/>
              </w:rPr>
              <w:t>]</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13</w:t>
            </w:r>
            <w:r>
              <w:rPr>
                <w:rFonts w:ascii="Arial" w:hAnsi="Arial"/>
                <w:sz w:val="18"/>
                <w:lang w:val="en-US"/>
              </w:rPr>
              <w:t>.</w:t>
            </w:r>
            <w:r w:rsidRPr="00A460D5">
              <w:rPr>
                <w:rFonts w:ascii="Arial" w:hAnsi="Arial"/>
                <w:sz w:val="18"/>
                <w:lang w:val="en-US"/>
              </w:rPr>
              <w:t>2</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20</w:t>
            </w:r>
            <w:r>
              <w:rPr>
                <w:rFonts w:ascii="Arial" w:hAnsi="Arial"/>
                <w:sz w:val="18"/>
                <w:lang w:val="en-US"/>
              </w:rPr>
              <w:t>.</w:t>
            </w:r>
            <w:r w:rsidRPr="00A460D5">
              <w:rPr>
                <w:rFonts w:ascii="Arial" w:hAnsi="Arial"/>
                <w:sz w:val="18"/>
                <w:lang w:val="en-US"/>
              </w:rPr>
              <w:t>9</w:t>
            </w:r>
          </w:p>
        </w:tc>
        <w:tc>
          <w:tcPr>
            <w:tcW w:w="1276" w:type="dxa"/>
            <w:vAlign w:val="center"/>
          </w:tcPr>
          <w:p w:rsidR="00A460D5" w:rsidRPr="00A460D5" w:rsidRDefault="00A460D5">
            <w:pPr>
              <w:tabs>
                <w:tab w:val="left" w:pos="8505"/>
              </w:tabs>
              <w:rPr>
                <w:rFonts w:ascii="Arial" w:hAnsi="Arial"/>
                <w:sz w:val="18"/>
                <w:lang w:val="en-US"/>
              </w:rPr>
            </w:pPr>
            <w:r w:rsidRPr="00A460D5">
              <w:rPr>
                <w:rFonts w:ascii="Arial" w:hAnsi="Arial"/>
                <w:sz w:val="18"/>
                <w:lang w:val="en-US"/>
              </w:rPr>
              <w:t>--</w:t>
            </w:r>
          </w:p>
        </w:tc>
      </w:tr>
      <w:tr w:rsidR="00A460D5" w:rsidRPr="00A460D5" w:rsidTr="00A460D5">
        <w:trPr>
          <w:trHeight w:val="284"/>
        </w:trPr>
        <w:tc>
          <w:tcPr>
            <w:tcW w:w="4219" w:type="dxa"/>
            <w:vAlign w:val="center"/>
          </w:tcPr>
          <w:p w:rsidR="00A460D5" w:rsidRPr="00B8338C" w:rsidRDefault="00A460D5" w:rsidP="00206D3A">
            <w:pPr>
              <w:tabs>
                <w:tab w:val="left" w:pos="8505"/>
              </w:tabs>
              <w:rPr>
                <w:rFonts w:ascii="Arial" w:hAnsi="Arial"/>
                <w:sz w:val="18"/>
                <w:lang w:val="en-GB"/>
              </w:rPr>
            </w:pPr>
            <w:r w:rsidRPr="00B8338C">
              <w:rPr>
                <w:rFonts w:ascii="Arial" w:hAnsi="Arial"/>
                <w:sz w:val="18"/>
                <w:lang w:val="en-GB"/>
              </w:rPr>
              <w:t xml:space="preserve">Capital expenditure on property, plant and equipment as well as intangible assets </w:t>
            </w:r>
            <w:r w:rsidRPr="007F68CF">
              <w:rPr>
                <w:rFonts w:ascii="Arial" w:hAnsi="Arial"/>
                <w:sz w:val="18"/>
                <w:lang w:val="en-GB"/>
              </w:rPr>
              <w:t>[</w:t>
            </w:r>
            <w:r>
              <w:rPr>
                <w:rFonts w:ascii="Arial" w:hAnsi="Arial"/>
                <w:sz w:val="18"/>
                <w:lang w:val="en-GB"/>
              </w:rPr>
              <w:t>€ million</w:t>
            </w:r>
            <w:r w:rsidRPr="007F68CF">
              <w:rPr>
                <w:rFonts w:ascii="Arial" w:hAnsi="Arial"/>
                <w:sz w:val="18"/>
                <w:lang w:val="en-GB"/>
              </w:rPr>
              <w:t>]</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168.4</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154</w:t>
            </w:r>
            <w:r>
              <w:rPr>
                <w:rFonts w:ascii="Arial" w:hAnsi="Arial"/>
                <w:sz w:val="18"/>
                <w:lang w:val="en-US"/>
              </w:rPr>
              <w:t>.</w:t>
            </w:r>
            <w:r w:rsidRPr="00A460D5">
              <w:rPr>
                <w:rFonts w:ascii="Arial" w:hAnsi="Arial"/>
                <w:sz w:val="18"/>
                <w:lang w:val="en-US"/>
              </w:rPr>
              <w:t>2</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+9.2 %</w:t>
            </w:r>
          </w:p>
        </w:tc>
      </w:tr>
      <w:tr w:rsidR="00A460D5" w:rsidRPr="00A460D5" w:rsidTr="00A460D5">
        <w:trPr>
          <w:trHeight w:val="284"/>
        </w:trPr>
        <w:tc>
          <w:tcPr>
            <w:tcW w:w="4219" w:type="dxa"/>
            <w:vAlign w:val="center"/>
          </w:tcPr>
          <w:p w:rsidR="00A460D5" w:rsidRPr="0004329A" w:rsidRDefault="00A460D5" w:rsidP="00206D3A">
            <w:pPr>
              <w:tabs>
                <w:tab w:val="left" w:pos="8505"/>
              </w:tabs>
              <w:rPr>
                <w:rFonts w:ascii="Arial" w:hAnsi="Arial"/>
                <w:sz w:val="18"/>
                <w:lang w:val="en-GB"/>
              </w:rPr>
            </w:pPr>
            <w:r w:rsidRPr="0004329A">
              <w:rPr>
                <w:rFonts w:ascii="Arial" w:hAnsi="Arial"/>
                <w:sz w:val="18"/>
                <w:lang w:val="en-GB"/>
              </w:rPr>
              <w:t>Acquisitions and financial investments</w:t>
            </w:r>
            <w:r w:rsidRPr="00B8338C">
              <w:rPr>
                <w:rFonts w:ascii="Arial" w:hAnsi="Arial"/>
                <w:sz w:val="18"/>
                <w:lang w:val="en-GB"/>
              </w:rPr>
              <w:t xml:space="preserve"> </w:t>
            </w:r>
            <w:r w:rsidRPr="007F68CF">
              <w:rPr>
                <w:rFonts w:ascii="Arial" w:hAnsi="Arial"/>
                <w:sz w:val="18"/>
                <w:lang w:val="en-GB"/>
              </w:rPr>
              <w:t>[</w:t>
            </w:r>
            <w:r>
              <w:rPr>
                <w:rFonts w:ascii="Arial" w:hAnsi="Arial"/>
                <w:sz w:val="18"/>
                <w:lang w:val="en-GB"/>
              </w:rPr>
              <w:t>€ million</w:t>
            </w:r>
            <w:r w:rsidRPr="007F68CF">
              <w:rPr>
                <w:rFonts w:ascii="Arial" w:hAnsi="Arial"/>
                <w:sz w:val="18"/>
                <w:lang w:val="en-GB"/>
              </w:rPr>
              <w:t>]</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0</w:t>
            </w:r>
            <w:r>
              <w:rPr>
                <w:rFonts w:ascii="Arial" w:hAnsi="Arial"/>
                <w:sz w:val="18"/>
                <w:lang w:val="en-US"/>
              </w:rPr>
              <w:t>.</w:t>
            </w:r>
            <w:r w:rsidRPr="00A460D5">
              <w:rPr>
                <w:rFonts w:ascii="Arial" w:hAnsi="Arial"/>
                <w:sz w:val="18"/>
                <w:lang w:val="en-US"/>
              </w:rPr>
              <w:t>0</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26</w:t>
            </w:r>
            <w:r>
              <w:rPr>
                <w:rFonts w:ascii="Arial" w:hAnsi="Arial"/>
                <w:sz w:val="18"/>
                <w:lang w:val="en-US"/>
              </w:rPr>
              <w:t>.</w:t>
            </w:r>
            <w:r w:rsidRPr="00A460D5">
              <w:rPr>
                <w:rFonts w:ascii="Arial" w:hAnsi="Arial"/>
                <w:sz w:val="18"/>
                <w:lang w:val="en-US"/>
              </w:rPr>
              <w:t>7</w:t>
            </w:r>
          </w:p>
        </w:tc>
        <w:tc>
          <w:tcPr>
            <w:tcW w:w="1276" w:type="dxa"/>
            <w:vAlign w:val="center"/>
          </w:tcPr>
          <w:p w:rsidR="00A460D5" w:rsidRPr="00A460D5" w:rsidRDefault="00A460D5">
            <w:pPr>
              <w:tabs>
                <w:tab w:val="left" w:pos="8505"/>
              </w:tabs>
              <w:rPr>
                <w:rFonts w:ascii="Arial" w:hAnsi="Arial"/>
                <w:sz w:val="18"/>
                <w:lang w:val="en-US"/>
              </w:rPr>
            </w:pPr>
            <w:r w:rsidRPr="00A460D5">
              <w:rPr>
                <w:rFonts w:ascii="Arial" w:hAnsi="Arial"/>
                <w:sz w:val="18"/>
                <w:lang w:val="en-US"/>
              </w:rPr>
              <w:t>--</w:t>
            </w:r>
          </w:p>
        </w:tc>
      </w:tr>
      <w:tr w:rsidR="00A460D5" w:rsidRPr="00A460D5" w:rsidTr="00A460D5">
        <w:trPr>
          <w:trHeight w:val="284"/>
        </w:trPr>
        <w:tc>
          <w:tcPr>
            <w:tcW w:w="4219" w:type="dxa"/>
            <w:vAlign w:val="center"/>
          </w:tcPr>
          <w:p w:rsidR="00A460D5" w:rsidRPr="0004329A" w:rsidRDefault="00A460D5" w:rsidP="00206D3A">
            <w:pPr>
              <w:tabs>
                <w:tab w:val="left" w:pos="8505"/>
              </w:tabs>
              <w:rPr>
                <w:rFonts w:ascii="Arial" w:hAnsi="Arial"/>
                <w:sz w:val="18"/>
                <w:lang w:val="en-GB"/>
              </w:rPr>
            </w:pPr>
            <w:r w:rsidRPr="0004329A">
              <w:rPr>
                <w:rFonts w:ascii="Arial" w:hAnsi="Arial"/>
                <w:sz w:val="18"/>
                <w:lang w:val="en-GB"/>
              </w:rPr>
              <w:t>Employees (as at 31 Dec.)</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61</w:t>
            </w:r>
            <w:r>
              <w:rPr>
                <w:rFonts w:ascii="Arial" w:hAnsi="Arial"/>
                <w:sz w:val="18"/>
                <w:lang w:val="en-US"/>
              </w:rPr>
              <w:t>,</w:t>
            </w:r>
            <w:r w:rsidRPr="00A460D5">
              <w:rPr>
                <w:rFonts w:ascii="Arial" w:hAnsi="Arial"/>
                <w:sz w:val="18"/>
                <w:lang w:val="en-US"/>
              </w:rPr>
              <w:t>591</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59</w:t>
            </w:r>
            <w:r>
              <w:rPr>
                <w:rFonts w:ascii="Arial" w:hAnsi="Arial"/>
                <w:sz w:val="18"/>
                <w:lang w:val="en-US"/>
              </w:rPr>
              <w:t>,</w:t>
            </w:r>
            <w:r w:rsidRPr="00A460D5">
              <w:rPr>
                <w:rFonts w:ascii="Arial" w:hAnsi="Arial"/>
                <w:sz w:val="18"/>
                <w:lang w:val="en-US"/>
              </w:rPr>
              <w:t>393</w:t>
            </w:r>
          </w:p>
        </w:tc>
        <w:tc>
          <w:tcPr>
            <w:tcW w:w="1276" w:type="dxa"/>
            <w:vAlign w:val="center"/>
          </w:tcPr>
          <w:p w:rsidR="00A460D5" w:rsidRPr="00A460D5" w:rsidRDefault="00A460D5" w:rsidP="00A460D5">
            <w:pPr>
              <w:tabs>
                <w:tab w:val="left" w:pos="8505"/>
              </w:tabs>
              <w:rPr>
                <w:rFonts w:ascii="Arial" w:hAnsi="Arial"/>
                <w:sz w:val="18"/>
                <w:lang w:val="en-US"/>
              </w:rPr>
            </w:pPr>
            <w:r w:rsidRPr="00A460D5">
              <w:rPr>
                <w:rFonts w:ascii="Arial" w:hAnsi="Arial"/>
                <w:sz w:val="18"/>
                <w:lang w:val="en-US"/>
              </w:rPr>
              <w:t>+3</w:t>
            </w:r>
            <w:r>
              <w:rPr>
                <w:rFonts w:ascii="Arial" w:hAnsi="Arial"/>
                <w:sz w:val="18"/>
                <w:lang w:val="en-US"/>
              </w:rPr>
              <w:t>.</w:t>
            </w:r>
            <w:r w:rsidRPr="00A460D5">
              <w:rPr>
                <w:rFonts w:ascii="Arial" w:hAnsi="Arial"/>
                <w:sz w:val="18"/>
                <w:lang w:val="en-US"/>
              </w:rPr>
              <w:t>7 %</w:t>
            </w:r>
          </w:p>
        </w:tc>
      </w:tr>
    </w:tbl>
    <w:p w:rsidR="00E549D9" w:rsidRPr="00A460D5" w:rsidRDefault="00E549D9">
      <w:pPr>
        <w:autoSpaceDE w:val="0"/>
        <w:autoSpaceDN w:val="0"/>
        <w:adjustRightInd w:val="0"/>
        <w:ind w:left="360" w:right="1854"/>
        <w:rPr>
          <w:rFonts w:ascii="Arial" w:hAnsi="Arial"/>
          <w:i/>
          <w:sz w:val="16"/>
          <w:lang w:val="en-US"/>
        </w:rPr>
      </w:pPr>
    </w:p>
    <w:p w:rsidR="00E549D9" w:rsidRPr="00A460D5" w:rsidRDefault="00A460D5">
      <w:pPr>
        <w:pStyle w:val="Listenabsatz"/>
        <w:numPr>
          <w:ilvl w:val="0"/>
          <w:numId w:val="6"/>
        </w:numPr>
        <w:autoSpaceDE w:val="0"/>
        <w:autoSpaceDN w:val="0"/>
        <w:adjustRightInd w:val="0"/>
        <w:ind w:left="284" w:right="1711" w:hanging="284"/>
        <w:rPr>
          <w:rFonts w:ascii="Arial" w:hAnsi="Arial"/>
          <w:i/>
          <w:sz w:val="16"/>
          <w:lang w:val="en-US"/>
        </w:rPr>
      </w:pPr>
      <w:r w:rsidRPr="00A460D5">
        <w:rPr>
          <w:rFonts w:ascii="Arial" w:hAnsi="Arial"/>
          <w:i/>
          <w:sz w:val="16"/>
          <w:lang w:val="en-US"/>
        </w:rPr>
        <w:t>Earnings adjusted for the impact of revaluation as part of allocating the prices of the major acquisitions, restructuring, impairment of non-current assets, capital gains on the disposal of businesses and income from business combinations including related derivatives</w:t>
      </w:r>
    </w:p>
    <w:p w:rsidR="00E549D9" w:rsidRDefault="00A460D5">
      <w:pPr>
        <w:pStyle w:val="Listenabsatz"/>
        <w:numPr>
          <w:ilvl w:val="0"/>
          <w:numId w:val="6"/>
        </w:numPr>
        <w:autoSpaceDE w:val="0"/>
        <w:autoSpaceDN w:val="0"/>
        <w:adjustRightInd w:val="0"/>
        <w:ind w:left="284" w:right="1711" w:hanging="284"/>
        <w:rPr>
          <w:rFonts w:ascii="Arial" w:hAnsi="Arial"/>
          <w:i/>
          <w:sz w:val="16"/>
        </w:rPr>
      </w:pPr>
      <w:r w:rsidRPr="0004329A">
        <w:rPr>
          <w:rFonts w:ascii="Arial" w:hAnsi="Arial"/>
          <w:i/>
          <w:sz w:val="16"/>
          <w:lang w:val="en-GB"/>
        </w:rPr>
        <w:t>before acquisitions</w:t>
      </w:r>
      <w:r>
        <w:rPr>
          <w:rFonts w:ascii="Arial" w:hAnsi="Arial"/>
          <w:i/>
          <w:sz w:val="16"/>
          <w:lang w:val="en-GB"/>
        </w:rPr>
        <w:t xml:space="preserve"> and divestments</w:t>
      </w:r>
    </w:p>
    <w:p w:rsidR="00E549D9" w:rsidRPr="004409AA" w:rsidRDefault="00E549D9" w:rsidP="004409AA">
      <w:pPr>
        <w:pStyle w:val="Listenabsatz"/>
        <w:numPr>
          <w:ilvl w:val="0"/>
          <w:numId w:val="6"/>
        </w:numPr>
        <w:autoSpaceDE w:val="0"/>
        <w:autoSpaceDN w:val="0"/>
        <w:adjustRightInd w:val="0"/>
        <w:ind w:left="284" w:right="1711" w:hanging="284"/>
        <w:rPr>
          <w:rFonts w:ascii="Arial" w:hAnsi="Arial"/>
          <w:i/>
          <w:sz w:val="16"/>
          <w:lang w:val="en-GB"/>
        </w:rPr>
      </w:pPr>
      <w:r w:rsidRPr="004409AA">
        <w:rPr>
          <w:rFonts w:ascii="Arial" w:hAnsi="Arial"/>
          <w:i/>
          <w:sz w:val="16"/>
          <w:lang w:val="en-GB"/>
        </w:rPr>
        <w:t>A</w:t>
      </w:r>
      <w:r w:rsidR="00A460D5" w:rsidRPr="004409AA">
        <w:rPr>
          <w:rFonts w:ascii="Arial" w:hAnsi="Arial"/>
          <w:i/>
          <w:sz w:val="16"/>
          <w:lang w:val="en-GB"/>
        </w:rPr>
        <w:t>djust</w:t>
      </w:r>
      <w:r w:rsidR="004409AA" w:rsidRPr="004409AA">
        <w:rPr>
          <w:rFonts w:ascii="Arial" w:hAnsi="Arial"/>
          <w:i/>
          <w:sz w:val="16"/>
          <w:lang w:val="en-GB"/>
        </w:rPr>
        <w:t xml:space="preserve">ment due to amendment to </w:t>
      </w:r>
      <w:r w:rsidRPr="004409AA">
        <w:rPr>
          <w:rFonts w:ascii="Arial" w:hAnsi="Arial"/>
          <w:i/>
          <w:sz w:val="16"/>
          <w:lang w:val="en-GB"/>
        </w:rPr>
        <w:t>IAS 19</w:t>
      </w:r>
    </w:p>
    <w:p w:rsidR="00D63C74" w:rsidRDefault="00D63C74" w:rsidP="00D63C74">
      <w:pPr>
        <w:spacing w:before="240"/>
        <w:ind w:right="1711"/>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Pr="00D92309">
        <w:rPr>
          <w:rFonts w:ascii="Arial" w:hAnsi="Arial"/>
          <w:i/>
          <w:sz w:val="21"/>
          <w:lang w:val="en-GB"/>
        </w:rPr>
        <w:t>Related i</w:t>
      </w:r>
      <w:r w:rsidRPr="00C85271">
        <w:rPr>
          <w:rFonts w:ascii="Arial" w:hAnsi="Arial"/>
          <w:i/>
          <w:sz w:val="21"/>
          <w:lang w:val="en-GB"/>
        </w:rPr>
        <w:t xml:space="preserve">llustration material and further information can be downloaded from </w:t>
      </w:r>
      <w:r w:rsidRPr="00D63C74">
        <w:rPr>
          <w:rStyle w:val="Hyperlink"/>
          <w:rFonts w:ascii="Arial" w:hAnsi="Arial"/>
          <w:i/>
          <w:sz w:val="21"/>
          <w:lang w:val="en-GB"/>
        </w:rPr>
        <w:t>www.leoni.com/Figures-2013.16799.0.html?L=1</w:t>
      </w:r>
      <w:r w:rsidRPr="00C85271">
        <w:rPr>
          <w:rFonts w:ascii="Arial" w:hAnsi="Arial"/>
          <w:i/>
          <w:sz w:val="21"/>
          <w:lang w:val="en-GB"/>
        </w:rPr>
        <w:t xml:space="preserve"> next to this release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proofErr w:type="gramStart"/>
      <w:r w:rsidRPr="002C049D">
        <w:rPr>
          <w:rFonts w:ascii="Arial" w:hAnsi="Arial"/>
          <w:i/>
          <w:sz w:val="21"/>
          <w:lang w:val="en-GB"/>
        </w:rPr>
        <w:t>The</w:t>
      </w:r>
      <w:proofErr w:type="gramEnd"/>
      <w:r w:rsidRPr="002C049D">
        <w:rPr>
          <w:rFonts w:ascii="Arial" w:hAnsi="Arial"/>
          <w:i/>
          <w:sz w:val="21"/>
          <w:lang w:val="en-GB"/>
        </w:rPr>
        <w:t xml:space="preserve"> complete </w:t>
      </w:r>
      <w:r>
        <w:rPr>
          <w:rFonts w:ascii="Arial" w:hAnsi="Arial"/>
          <w:i/>
          <w:sz w:val="21"/>
          <w:lang w:val="en-GB"/>
        </w:rPr>
        <w:t xml:space="preserve">annual </w:t>
      </w:r>
      <w:r w:rsidRPr="002C049D">
        <w:rPr>
          <w:rFonts w:ascii="Arial" w:hAnsi="Arial"/>
          <w:i/>
          <w:sz w:val="21"/>
          <w:lang w:val="en-GB"/>
        </w:rPr>
        <w:t>report can be downloaded from</w:t>
      </w:r>
      <w:r>
        <w:rPr>
          <w:rFonts w:ascii="Arial" w:hAnsi="Arial"/>
          <w:i/>
          <w:sz w:val="21"/>
          <w:lang w:val="en-GB"/>
        </w:rPr>
        <w:t xml:space="preserve"> </w:t>
      </w:r>
      <w:hyperlink r:id="rId8" w:history="1">
        <w:r w:rsidR="00C52B51" w:rsidRPr="00483E7E">
          <w:rPr>
            <w:rStyle w:val="Hyperlink"/>
            <w:rFonts w:ascii="Arial" w:hAnsi="Arial" w:cs="Arial"/>
            <w:i/>
            <w:sz w:val="21"/>
            <w:szCs w:val="21"/>
            <w:lang w:val="en-US"/>
          </w:rPr>
          <w:t>www.leoni.com/?gb13&amp;L=1</w:t>
        </w:r>
      </w:hyperlink>
    </w:p>
    <w:p w:rsidR="00D63C74" w:rsidRPr="00C85271" w:rsidRDefault="00D63C74" w:rsidP="00D63C74">
      <w:pPr>
        <w:pStyle w:val="MMKurzprofilberschrift"/>
        <w:rPr>
          <w:rFonts w:cs="Times New Roman"/>
          <w:szCs w:val="24"/>
          <w:lang w:val="en-GB"/>
        </w:rPr>
      </w:pPr>
      <w:r w:rsidRPr="00C85271">
        <w:rPr>
          <w:rFonts w:cs="Times New Roman"/>
          <w:szCs w:val="24"/>
          <w:lang w:val="en-GB"/>
        </w:rPr>
        <w:t>About the Leoni Group</w:t>
      </w:r>
    </w:p>
    <w:p w:rsidR="00D63C74" w:rsidRDefault="00D63C74" w:rsidP="00D63C74">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Pr>
          <w:lang w:val="en-GB"/>
        </w:rPr>
        <w:t>about 62</w:t>
      </w:r>
      <w:r w:rsidRPr="00C85271">
        <w:rPr>
          <w:lang w:val="en-GB"/>
        </w:rPr>
        <w:t>,000 people in 3</w:t>
      </w:r>
      <w:r>
        <w:rPr>
          <w:lang w:val="en-GB"/>
        </w:rPr>
        <w:t>3</w:t>
      </w:r>
      <w:r w:rsidRPr="00C85271">
        <w:rPr>
          <w:lang w:val="en-GB"/>
        </w:rPr>
        <w:t xml:space="preserve"> countries and generated consolidated sales of </w:t>
      </w:r>
      <w:r w:rsidRPr="00B572CD">
        <w:rPr>
          <w:lang w:val="en-US"/>
        </w:rPr>
        <w:t>EUR 3.</w:t>
      </w:r>
      <w:r>
        <w:rPr>
          <w:lang w:val="en-US"/>
        </w:rPr>
        <w:t>92</w:t>
      </w:r>
      <w:r w:rsidRPr="00B572CD">
        <w:rPr>
          <w:lang w:val="en-US"/>
        </w:rPr>
        <w:t xml:space="preserve"> billion in 201</w:t>
      </w:r>
      <w:r>
        <w:rPr>
          <w:lang w:val="en-US"/>
        </w:rPr>
        <w:t>3.</w:t>
      </w:r>
    </w:p>
    <w:p w:rsidR="00D63C74" w:rsidRDefault="00D63C74" w:rsidP="00D63C74">
      <w:pPr>
        <w:pStyle w:val="MMKurzprofil"/>
        <w:rPr>
          <w:lang w:val="en-GB"/>
        </w:rPr>
      </w:pPr>
    </w:p>
    <w:p w:rsidR="00D63C74" w:rsidRPr="004044A6" w:rsidRDefault="008F3C43" w:rsidP="00D63C74">
      <w:pPr>
        <w:pStyle w:val="MMKurzprofil"/>
        <w:rPr>
          <w:lang w:val="en-US"/>
        </w:rPr>
      </w:pPr>
      <w:hyperlink r:id="rId9" w:tgtFrame="_blank" w:history="1">
        <w:r w:rsidR="00DF39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0" o:title="facebook"/>
            </v:shape>
          </w:pict>
        </w:r>
      </w:hyperlink>
      <w:r w:rsidR="00D63C74" w:rsidRPr="004044A6">
        <w:rPr>
          <w:lang w:val="en-US"/>
        </w:rPr>
        <w:t xml:space="preserve"> </w:t>
      </w:r>
      <w:hyperlink r:id="rId11" w:tgtFrame="_blank" w:history="1">
        <w:r w:rsidR="00DF39BD">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2" o:title="xing"/>
            </v:shape>
          </w:pict>
        </w:r>
      </w:hyperlink>
    </w:p>
    <w:p w:rsidR="00D63C74" w:rsidRPr="00C85271" w:rsidRDefault="00D63C74" w:rsidP="00D63C74">
      <w:pPr>
        <w:pStyle w:val="MMKurzprofilberschrift"/>
        <w:rPr>
          <w:rFonts w:cs="Times New Roman"/>
          <w:szCs w:val="24"/>
          <w:lang w:val="en-GB"/>
        </w:rPr>
      </w:pPr>
      <w:r w:rsidRPr="00C85271">
        <w:rPr>
          <w:rFonts w:cs="Times New Roman"/>
          <w:szCs w:val="24"/>
          <w:lang w:val="en-GB"/>
        </w:rPr>
        <w:lastRenderedPageBreak/>
        <w:t>Contact person for journalists</w:t>
      </w:r>
    </w:p>
    <w:p w:rsidR="00D63C74" w:rsidRPr="00C85271" w:rsidRDefault="00D63C74" w:rsidP="00D63C74">
      <w:pPr>
        <w:pStyle w:val="MMKurzprofil"/>
        <w:rPr>
          <w:rFonts w:cs="Times New Roman"/>
          <w:szCs w:val="24"/>
          <w:lang w:val="en-GB"/>
        </w:rPr>
      </w:pPr>
      <w:r w:rsidRPr="00C85271">
        <w:rPr>
          <w:rFonts w:cs="Times New Roman"/>
          <w:szCs w:val="24"/>
          <w:lang w:val="en-GB"/>
        </w:rPr>
        <w:t>Sven Schmidt</w:t>
      </w:r>
    </w:p>
    <w:p w:rsidR="00D63C74" w:rsidRDefault="00D63C74" w:rsidP="00D63C74">
      <w:pPr>
        <w:pStyle w:val="MMKurzprofil"/>
        <w:rPr>
          <w:rFonts w:cs="Times New Roman"/>
          <w:szCs w:val="24"/>
          <w:lang w:val="en-GB"/>
        </w:rPr>
      </w:pPr>
      <w:r w:rsidRPr="00C85271">
        <w:rPr>
          <w:rFonts w:cs="Times New Roman"/>
          <w:szCs w:val="24"/>
          <w:lang w:val="en-GB"/>
        </w:rPr>
        <w:t>Corporate Public &amp; Media Relations</w:t>
      </w:r>
    </w:p>
    <w:p w:rsidR="00D63C74" w:rsidRPr="00C85271" w:rsidRDefault="00D63C74" w:rsidP="00D63C74">
      <w:pPr>
        <w:pStyle w:val="MMKurzprofil"/>
        <w:rPr>
          <w:rFonts w:cs="Times New Roman"/>
          <w:szCs w:val="24"/>
          <w:lang w:val="en-GB"/>
        </w:rPr>
      </w:pPr>
      <w:r>
        <w:rPr>
          <w:rFonts w:cs="Times New Roman"/>
          <w:szCs w:val="24"/>
          <w:lang w:val="en-GB"/>
        </w:rPr>
        <w:t>LEONI AG</w:t>
      </w:r>
    </w:p>
    <w:p w:rsidR="00D63C74" w:rsidRPr="00C85271" w:rsidRDefault="00D63C74" w:rsidP="00D63C74">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D63C74" w:rsidRPr="00C85271" w:rsidRDefault="00D63C74" w:rsidP="00D63C74">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D63C74" w:rsidRDefault="00D63C74" w:rsidP="00D63C74">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3" w:history="1">
        <w:r w:rsidRPr="00D63C74">
          <w:rPr>
            <w:rStyle w:val="Hyperlink"/>
            <w:szCs w:val="24"/>
            <w:lang w:val="en-GB"/>
          </w:rPr>
          <w:t>presse@leoni.com</w:t>
        </w:r>
      </w:hyperlink>
    </w:p>
    <w:p w:rsidR="00E549D9" w:rsidRDefault="00E549D9" w:rsidP="00D63C74">
      <w:pPr>
        <w:pStyle w:val="Listenabsatz"/>
        <w:autoSpaceDE w:val="0"/>
        <w:autoSpaceDN w:val="0"/>
        <w:adjustRightInd w:val="0"/>
        <w:ind w:left="0" w:right="1854"/>
      </w:pPr>
    </w:p>
    <w:sectPr w:rsidR="00E549D9" w:rsidSect="00E549D9">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D9" w:rsidRDefault="00E549D9">
      <w:pPr>
        <w:rPr>
          <w:sz w:val="16"/>
        </w:rPr>
      </w:pPr>
      <w:r>
        <w:separator/>
      </w:r>
    </w:p>
  </w:endnote>
  <w:endnote w:type="continuationSeparator" w:id="0">
    <w:p w:rsidR="00E549D9" w:rsidRDefault="00E549D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D9" w:rsidRDefault="00C52B51">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page</w:t>
    </w:r>
    <w:r w:rsidR="00E549D9">
      <w:rPr>
        <w:rFonts w:ascii="Arial" w:hAnsi="Arial"/>
        <w:i/>
        <w:noProof/>
        <w:sz w:val="16"/>
      </w:rPr>
      <w:t xml:space="preserve"> </w:t>
    </w:r>
    <w:r w:rsidR="00E549D9">
      <w:rPr>
        <w:rStyle w:val="Seitenzahl"/>
        <w:rFonts w:ascii="Arial" w:hAnsi="Arial"/>
        <w:i/>
        <w:noProof/>
        <w:sz w:val="16"/>
      </w:rPr>
      <w:fldChar w:fldCharType="begin"/>
    </w:r>
    <w:r w:rsidR="00E549D9">
      <w:rPr>
        <w:rStyle w:val="Seitenzahl"/>
        <w:rFonts w:ascii="Arial" w:hAnsi="Arial"/>
        <w:i/>
        <w:noProof/>
        <w:sz w:val="16"/>
      </w:rPr>
      <w:instrText xml:space="preserve"> PAGE </w:instrText>
    </w:r>
    <w:r w:rsidR="00E549D9">
      <w:rPr>
        <w:rStyle w:val="Seitenzahl"/>
        <w:rFonts w:ascii="Arial" w:hAnsi="Arial"/>
        <w:i/>
        <w:noProof/>
        <w:sz w:val="16"/>
      </w:rPr>
      <w:fldChar w:fldCharType="separate"/>
    </w:r>
    <w:r w:rsidR="007C56C6">
      <w:rPr>
        <w:rStyle w:val="Seitenzahl"/>
        <w:rFonts w:ascii="Arial" w:hAnsi="Arial"/>
        <w:i/>
        <w:noProof/>
        <w:sz w:val="16"/>
      </w:rPr>
      <w:t>1</w:t>
    </w:r>
    <w:r w:rsidR="00E549D9">
      <w:rPr>
        <w:rStyle w:val="Seitenzahl"/>
        <w:rFonts w:ascii="Arial" w:hAnsi="Arial"/>
        <w:i/>
        <w:noProof/>
        <w:sz w:val="16"/>
      </w:rPr>
      <w:fldChar w:fldCharType="end"/>
    </w:r>
    <w:r w:rsidR="00E549D9">
      <w:rPr>
        <w:rStyle w:val="Seitenzahl"/>
        <w:rFonts w:ascii="Arial" w:hAnsi="Arial"/>
        <w:i/>
        <w:noProof/>
        <w:sz w:val="16"/>
      </w:rPr>
      <w:t xml:space="preserve"> o</w:t>
    </w:r>
    <w:r>
      <w:rPr>
        <w:rStyle w:val="Seitenzahl"/>
        <w:rFonts w:ascii="Arial" w:hAnsi="Arial"/>
        <w:i/>
        <w:noProof/>
        <w:sz w:val="16"/>
      </w:rPr>
      <w:t>f</w:t>
    </w:r>
    <w:r w:rsidR="00E549D9">
      <w:rPr>
        <w:rStyle w:val="Seitenzahl"/>
        <w:rFonts w:ascii="Arial" w:hAnsi="Arial"/>
        <w:i/>
        <w:noProof/>
        <w:sz w:val="16"/>
      </w:rPr>
      <w:t xml:space="preserve"> </w:t>
    </w:r>
    <w:r w:rsidR="00E549D9">
      <w:rPr>
        <w:rStyle w:val="Seitenzahl"/>
        <w:rFonts w:ascii="Arial" w:hAnsi="Arial"/>
        <w:i/>
        <w:noProof/>
        <w:sz w:val="16"/>
      </w:rPr>
      <w:fldChar w:fldCharType="begin"/>
    </w:r>
    <w:r w:rsidR="00E549D9">
      <w:rPr>
        <w:rStyle w:val="Seitenzahl"/>
        <w:rFonts w:ascii="Arial" w:hAnsi="Arial"/>
        <w:i/>
        <w:noProof/>
        <w:sz w:val="16"/>
      </w:rPr>
      <w:instrText xml:space="preserve"> NUMPAGES </w:instrText>
    </w:r>
    <w:r w:rsidR="00E549D9">
      <w:rPr>
        <w:rStyle w:val="Seitenzahl"/>
        <w:rFonts w:ascii="Arial" w:hAnsi="Arial"/>
        <w:i/>
        <w:noProof/>
        <w:sz w:val="16"/>
      </w:rPr>
      <w:fldChar w:fldCharType="separate"/>
    </w:r>
    <w:r w:rsidR="007C56C6">
      <w:rPr>
        <w:rStyle w:val="Seitenzahl"/>
        <w:rFonts w:ascii="Arial" w:hAnsi="Arial"/>
        <w:i/>
        <w:noProof/>
        <w:sz w:val="16"/>
      </w:rPr>
      <w:t>5</w:t>
    </w:r>
    <w:r w:rsidR="00E549D9">
      <w:rPr>
        <w:rStyle w:val="Seitenzahl"/>
        <w:rFonts w:ascii="Arial" w:hAnsi="Arial"/>
        <w:i/>
        <w:noProof/>
        <w:sz w:val="16"/>
      </w:rPr>
      <w:fldChar w:fldCharType="end"/>
    </w:r>
    <w:r w:rsidR="00E549D9">
      <w:rPr>
        <w:rFonts w:ascii="Arial" w:hAnsi="Arial"/>
        <w:b/>
        <w:i/>
        <w:color w:val="004089"/>
        <w:sz w:val="12"/>
      </w:rPr>
      <w:tab/>
    </w:r>
  </w:p>
  <w:p w:rsidR="00E549D9" w:rsidRDefault="00E549D9">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D9" w:rsidRDefault="00E549D9">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E549D9" w:rsidRDefault="00E549D9">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E549D9" w:rsidRDefault="00E549D9">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E549D9" w:rsidRDefault="00E549D9">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E549D9" w:rsidRDefault="00E549D9">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E549D9" w:rsidRDefault="00E549D9">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D9" w:rsidRDefault="00E549D9">
      <w:pPr>
        <w:rPr>
          <w:sz w:val="16"/>
        </w:rPr>
      </w:pPr>
      <w:r>
        <w:separator/>
      </w:r>
    </w:p>
  </w:footnote>
  <w:footnote w:type="continuationSeparator" w:id="0">
    <w:p w:rsidR="00E549D9" w:rsidRDefault="00E549D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D9" w:rsidRDefault="00E549D9">
    <w:pPr>
      <w:pStyle w:val="Kopfzeile"/>
      <w:tabs>
        <w:tab w:val="clear" w:pos="9072"/>
        <w:tab w:val="right" w:pos="9639"/>
      </w:tabs>
      <w:rPr>
        <w:rFonts w:ascii="Verdana" w:hAnsi="Verdana"/>
        <w:sz w:val="20"/>
      </w:rPr>
    </w:pPr>
  </w:p>
  <w:p w:rsidR="00E549D9" w:rsidRDefault="00E549D9">
    <w:pPr>
      <w:pStyle w:val="Kopfzeile"/>
      <w:tabs>
        <w:tab w:val="clear" w:pos="9072"/>
        <w:tab w:val="right" w:pos="9639"/>
      </w:tabs>
      <w:rPr>
        <w:rFonts w:ascii="Verdana" w:hAnsi="Verdana"/>
        <w:sz w:val="20"/>
      </w:rPr>
    </w:pPr>
  </w:p>
  <w:p w:rsidR="00E549D9" w:rsidRDefault="007C56C6">
    <w:pPr>
      <w:pStyle w:val="Kopfzeile"/>
      <w:tabs>
        <w:tab w:val="clear" w:pos="9072"/>
        <w:tab w:val="right" w:pos="9639"/>
      </w:tabs>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LEONI Logo farbig" style="position:absolute;margin-left:456.45pt;margin-top:42.55pt;width:96.8pt;height:23.2pt;z-index:251658240;visibility:visible;mso-position-horizontal-relative:page;mso-position-vertical-relative:page" o:allowoverlap="f">
          <v:imagedata r:id="rId1" o:title=""/>
          <w10:wrap anchorx="page" anchory="page"/>
          <w10:anchorlock/>
        </v:shape>
      </w:pict>
    </w:r>
  </w:p>
  <w:p w:rsidR="00E549D9" w:rsidRDefault="00E549D9">
    <w:pPr>
      <w:spacing w:before="60" w:line="360" w:lineRule="auto"/>
      <w:ind w:right="1429"/>
      <w:rPr>
        <w:rFonts w:ascii="Arial" w:hAnsi="Arial"/>
        <w:b/>
        <w:sz w:val="20"/>
      </w:rPr>
    </w:pPr>
  </w:p>
  <w:p w:rsidR="00E549D9" w:rsidRDefault="00E549D9">
    <w:pPr>
      <w:spacing w:line="360" w:lineRule="auto"/>
      <w:ind w:right="1429"/>
      <w:rPr>
        <w:rFonts w:ascii="Arial" w:hAnsi="Arial"/>
        <w:b/>
        <w:sz w:val="20"/>
      </w:rPr>
    </w:pPr>
    <w:r>
      <w:rPr>
        <w:rFonts w:ascii="Arial" w:hAnsi="Arial"/>
        <w:b/>
        <w:noProof/>
        <w:sz w:val="20"/>
      </w:rPr>
      <w:t>MEDI</w:t>
    </w:r>
    <w:r w:rsidR="00C52B51">
      <w:rPr>
        <w:rFonts w:ascii="Arial" w:hAnsi="Arial"/>
        <w:b/>
        <w:noProof/>
        <w:sz w:val="20"/>
      </w:rPr>
      <w:t>A RELEASE</w:t>
    </w:r>
  </w:p>
  <w:p w:rsidR="00E549D9" w:rsidRDefault="00E549D9">
    <w:pPr>
      <w:pStyle w:val="Kopfzeile"/>
      <w:tabs>
        <w:tab w:val="clear" w:pos="9072"/>
        <w:tab w:val="right" w:pos="9639"/>
      </w:tabs>
      <w:rPr>
        <w:rFonts w:ascii="Verdana" w:hAnsi="Verdana"/>
        <w:sz w:val="20"/>
      </w:rPr>
    </w:pPr>
  </w:p>
  <w:p w:rsidR="00E549D9" w:rsidRDefault="00E549D9">
    <w:pPr>
      <w:pStyle w:val="Kopfzeile"/>
      <w:tabs>
        <w:tab w:val="clear" w:pos="9072"/>
        <w:tab w:val="right" w:pos="9639"/>
      </w:tabs>
      <w:rPr>
        <w:rFonts w:ascii="Verdana" w:hAnsi="Verdana"/>
        <w:sz w:val="20"/>
      </w:rPr>
    </w:pPr>
  </w:p>
  <w:p w:rsidR="00E549D9" w:rsidRDefault="00E549D9">
    <w:pPr>
      <w:pStyle w:val="Kopfzeile"/>
      <w:tabs>
        <w:tab w:val="clear" w:pos="9072"/>
        <w:tab w:val="right" w:pos="9639"/>
      </w:tabs>
      <w:rPr>
        <w:rFonts w:ascii="Verdana" w:hAnsi="Verdana"/>
        <w:sz w:val="20"/>
      </w:rPr>
    </w:pPr>
  </w:p>
  <w:p w:rsidR="00E549D9" w:rsidRDefault="00E549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D9" w:rsidRDefault="00E549D9">
    <w:pPr>
      <w:pStyle w:val="Kopfzeile"/>
      <w:ind w:right="12"/>
      <w:rPr>
        <w:rFonts w:ascii="Verdana" w:hAnsi="Verdana"/>
        <w:sz w:val="20"/>
      </w:rPr>
    </w:pPr>
  </w:p>
  <w:p w:rsidR="00E549D9" w:rsidRDefault="00E549D9">
    <w:pPr>
      <w:pStyle w:val="Kopfzeile"/>
      <w:ind w:right="12"/>
      <w:rPr>
        <w:rFonts w:ascii="Verdana" w:hAnsi="Verdana"/>
        <w:sz w:val="20"/>
      </w:rPr>
    </w:pPr>
  </w:p>
  <w:p w:rsidR="00E549D9" w:rsidRDefault="00E549D9">
    <w:pPr>
      <w:pStyle w:val="Kopfzeile"/>
      <w:ind w:right="12"/>
      <w:rPr>
        <w:rFonts w:ascii="Verdana" w:hAnsi="Verdana"/>
        <w:sz w:val="20"/>
      </w:rPr>
    </w:pPr>
  </w:p>
  <w:p w:rsidR="00E549D9" w:rsidRDefault="00E549D9">
    <w:pPr>
      <w:pStyle w:val="Kopfzeile"/>
      <w:ind w:right="12"/>
      <w:rPr>
        <w:rFonts w:ascii="Verdana" w:hAnsi="Verdana"/>
        <w:sz w:val="20"/>
      </w:rPr>
    </w:pPr>
  </w:p>
  <w:p w:rsidR="00E549D9" w:rsidRDefault="007C56C6">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alt="LEONI Logo farbig" style="position:absolute;margin-left:394.35pt;margin-top:-111.95pt;width:96.8pt;height:23.2pt;z-index:251657216;visibility:visible;mso-position-horizontal-relative:margin;mso-position-vertical-relative:margin" o:allowoverlap="f">
          <v:imagedata r:id="rId1" o:title=""/>
          <w10:wrap anchorx="margin" anchory="margin"/>
        </v:shape>
      </w:pict>
    </w:r>
  </w:p>
  <w:p w:rsidR="00E549D9" w:rsidRDefault="00E549D9">
    <w:pPr>
      <w:pStyle w:val="Kopfzeile"/>
      <w:ind w:right="12"/>
      <w:rPr>
        <w:rFonts w:ascii="Verdana" w:hAnsi="Verdana"/>
        <w:sz w:val="20"/>
      </w:rPr>
    </w:pPr>
  </w:p>
  <w:p w:rsidR="00E549D9" w:rsidRDefault="00E549D9">
    <w:pPr>
      <w:pStyle w:val="Kopfzeile"/>
      <w:ind w:right="12"/>
      <w:rPr>
        <w:rFonts w:ascii="Verdana" w:hAnsi="Verdana"/>
        <w:sz w:val="20"/>
      </w:rPr>
    </w:pPr>
  </w:p>
  <w:p w:rsidR="00E549D9" w:rsidRDefault="00E549D9">
    <w:pPr>
      <w:pStyle w:val="Kopfzeile"/>
      <w:ind w:right="12"/>
      <w:rPr>
        <w:rFonts w:ascii="Verdana" w:hAnsi="Verdana"/>
        <w:sz w:val="20"/>
      </w:rPr>
    </w:pPr>
  </w:p>
  <w:p w:rsidR="00E549D9" w:rsidRDefault="00E549D9">
    <w:pPr>
      <w:pStyle w:val="Kopfzeile"/>
      <w:ind w:right="12"/>
      <w:rPr>
        <w:rFonts w:ascii="Verdana" w:hAnsi="Verdana"/>
        <w:sz w:val="20"/>
      </w:rPr>
    </w:pPr>
  </w:p>
  <w:p w:rsidR="00E549D9" w:rsidRDefault="00E549D9">
    <w:pPr>
      <w:pStyle w:val="Kopfzeile"/>
      <w:ind w:right="12"/>
      <w:rPr>
        <w:rFonts w:ascii="Verdana" w:hAnsi="Verdana"/>
        <w:sz w:val="20"/>
      </w:rPr>
    </w:pPr>
  </w:p>
  <w:p w:rsidR="00E549D9" w:rsidRDefault="00E549D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0F6B2508"/>
    <w:multiLevelType w:val="hybridMultilevel"/>
    <w:tmpl w:val="701EC33A"/>
    <w:lvl w:ilvl="0" w:tplc="4B64A06A">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4E27E7"/>
    <w:multiLevelType w:val="hybridMultilevel"/>
    <w:tmpl w:val="E6CCA1F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45B3473"/>
    <w:multiLevelType w:val="hybridMultilevel"/>
    <w:tmpl w:val="83B89CE4"/>
    <w:lvl w:ilvl="0" w:tplc="04070015">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5">
    <w:nsid w:val="7A196930"/>
    <w:multiLevelType w:val="hybridMultilevel"/>
    <w:tmpl w:val="0DE8BE7A"/>
    <w:lvl w:ilvl="0" w:tplc="0A6E7604">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6D33"/>
    <w:rsid w:val="000079E4"/>
    <w:rsid w:val="00013A64"/>
    <w:rsid w:val="0001653D"/>
    <w:rsid w:val="0002408F"/>
    <w:rsid w:val="000453F9"/>
    <w:rsid w:val="00062300"/>
    <w:rsid w:val="000671BD"/>
    <w:rsid w:val="00072185"/>
    <w:rsid w:val="00077B36"/>
    <w:rsid w:val="00077D0C"/>
    <w:rsid w:val="00091657"/>
    <w:rsid w:val="0009633F"/>
    <w:rsid w:val="000A0822"/>
    <w:rsid w:val="000A32BC"/>
    <w:rsid w:val="000A7B89"/>
    <w:rsid w:val="000B0B6C"/>
    <w:rsid w:val="000B3BF8"/>
    <w:rsid w:val="000B3D4A"/>
    <w:rsid w:val="000B5865"/>
    <w:rsid w:val="000C02B1"/>
    <w:rsid w:val="000D535C"/>
    <w:rsid w:val="000E5816"/>
    <w:rsid w:val="000E6946"/>
    <w:rsid w:val="000F2DC6"/>
    <w:rsid w:val="00102158"/>
    <w:rsid w:val="00103318"/>
    <w:rsid w:val="00110484"/>
    <w:rsid w:val="00112EFB"/>
    <w:rsid w:val="00120794"/>
    <w:rsid w:val="00123771"/>
    <w:rsid w:val="00123B76"/>
    <w:rsid w:val="00130F82"/>
    <w:rsid w:val="00132B87"/>
    <w:rsid w:val="00133DEA"/>
    <w:rsid w:val="00134E77"/>
    <w:rsid w:val="001454B6"/>
    <w:rsid w:val="00152D54"/>
    <w:rsid w:val="001538CE"/>
    <w:rsid w:val="001557B0"/>
    <w:rsid w:val="00157707"/>
    <w:rsid w:val="00157C54"/>
    <w:rsid w:val="00172DBF"/>
    <w:rsid w:val="001734DC"/>
    <w:rsid w:val="00184530"/>
    <w:rsid w:val="0018564D"/>
    <w:rsid w:val="001904D1"/>
    <w:rsid w:val="001A26F1"/>
    <w:rsid w:val="001B621B"/>
    <w:rsid w:val="001C0CC3"/>
    <w:rsid w:val="001C7543"/>
    <w:rsid w:val="001D1868"/>
    <w:rsid w:val="001D2CDB"/>
    <w:rsid w:val="001E24B0"/>
    <w:rsid w:val="00207FC6"/>
    <w:rsid w:val="002113F1"/>
    <w:rsid w:val="00211D05"/>
    <w:rsid w:val="00240866"/>
    <w:rsid w:val="00245C9E"/>
    <w:rsid w:val="00260A78"/>
    <w:rsid w:val="002630D8"/>
    <w:rsid w:val="00264325"/>
    <w:rsid w:val="00271757"/>
    <w:rsid w:val="00274BF6"/>
    <w:rsid w:val="002929B6"/>
    <w:rsid w:val="002956A9"/>
    <w:rsid w:val="0029603C"/>
    <w:rsid w:val="002A4D33"/>
    <w:rsid w:val="002A71D3"/>
    <w:rsid w:val="002B325C"/>
    <w:rsid w:val="002B68C4"/>
    <w:rsid w:val="002B7AC7"/>
    <w:rsid w:val="002B7BFA"/>
    <w:rsid w:val="002C118D"/>
    <w:rsid w:val="002C2359"/>
    <w:rsid w:val="002D3B75"/>
    <w:rsid w:val="003118F1"/>
    <w:rsid w:val="00315FE3"/>
    <w:rsid w:val="00316E24"/>
    <w:rsid w:val="00320044"/>
    <w:rsid w:val="003237A6"/>
    <w:rsid w:val="00340E9C"/>
    <w:rsid w:val="00356E80"/>
    <w:rsid w:val="00361CF2"/>
    <w:rsid w:val="00362050"/>
    <w:rsid w:val="00364DCD"/>
    <w:rsid w:val="00365E12"/>
    <w:rsid w:val="00382198"/>
    <w:rsid w:val="00397AC4"/>
    <w:rsid w:val="003A4093"/>
    <w:rsid w:val="003A57A3"/>
    <w:rsid w:val="003A70C9"/>
    <w:rsid w:val="003B48A6"/>
    <w:rsid w:val="003C6AAE"/>
    <w:rsid w:val="003D216E"/>
    <w:rsid w:val="003D2799"/>
    <w:rsid w:val="003D4AC7"/>
    <w:rsid w:val="003D4F5D"/>
    <w:rsid w:val="003E43B4"/>
    <w:rsid w:val="003E4B96"/>
    <w:rsid w:val="003E50A5"/>
    <w:rsid w:val="003F1AB5"/>
    <w:rsid w:val="003F74D0"/>
    <w:rsid w:val="00404468"/>
    <w:rsid w:val="00404642"/>
    <w:rsid w:val="00406709"/>
    <w:rsid w:val="00410A5D"/>
    <w:rsid w:val="00420BD0"/>
    <w:rsid w:val="00432245"/>
    <w:rsid w:val="004409AA"/>
    <w:rsid w:val="00441012"/>
    <w:rsid w:val="00441963"/>
    <w:rsid w:val="0044413D"/>
    <w:rsid w:val="0045071B"/>
    <w:rsid w:val="004547BF"/>
    <w:rsid w:val="00473340"/>
    <w:rsid w:val="00473E7D"/>
    <w:rsid w:val="00476B0F"/>
    <w:rsid w:val="004803C6"/>
    <w:rsid w:val="00482296"/>
    <w:rsid w:val="004826F0"/>
    <w:rsid w:val="00484EA0"/>
    <w:rsid w:val="0049418D"/>
    <w:rsid w:val="004A1653"/>
    <w:rsid w:val="004A2754"/>
    <w:rsid w:val="004A457B"/>
    <w:rsid w:val="004B0623"/>
    <w:rsid w:val="004B3DB8"/>
    <w:rsid w:val="004B4584"/>
    <w:rsid w:val="004B4CC2"/>
    <w:rsid w:val="004C003D"/>
    <w:rsid w:val="004C2BA9"/>
    <w:rsid w:val="004D2FCB"/>
    <w:rsid w:val="004E29FC"/>
    <w:rsid w:val="004F038C"/>
    <w:rsid w:val="004F2266"/>
    <w:rsid w:val="004F7079"/>
    <w:rsid w:val="00500004"/>
    <w:rsid w:val="00500B29"/>
    <w:rsid w:val="005072AE"/>
    <w:rsid w:val="00514260"/>
    <w:rsid w:val="00516B60"/>
    <w:rsid w:val="00517645"/>
    <w:rsid w:val="00526F46"/>
    <w:rsid w:val="0052757E"/>
    <w:rsid w:val="005302CE"/>
    <w:rsid w:val="00531E06"/>
    <w:rsid w:val="00533F65"/>
    <w:rsid w:val="00540F3D"/>
    <w:rsid w:val="005418E3"/>
    <w:rsid w:val="00543C34"/>
    <w:rsid w:val="005448AB"/>
    <w:rsid w:val="005456EE"/>
    <w:rsid w:val="00547D6D"/>
    <w:rsid w:val="00553180"/>
    <w:rsid w:val="00560D63"/>
    <w:rsid w:val="00560E65"/>
    <w:rsid w:val="005811E1"/>
    <w:rsid w:val="00585319"/>
    <w:rsid w:val="005A70E2"/>
    <w:rsid w:val="005B227D"/>
    <w:rsid w:val="005B4DC3"/>
    <w:rsid w:val="005B5619"/>
    <w:rsid w:val="005C1AC3"/>
    <w:rsid w:val="005C5351"/>
    <w:rsid w:val="005D4C87"/>
    <w:rsid w:val="005D550E"/>
    <w:rsid w:val="005E0BBB"/>
    <w:rsid w:val="005F5E8B"/>
    <w:rsid w:val="00600E53"/>
    <w:rsid w:val="00614A49"/>
    <w:rsid w:val="0061798D"/>
    <w:rsid w:val="00625354"/>
    <w:rsid w:val="006307D7"/>
    <w:rsid w:val="00631FB1"/>
    <w:rsid w:val="006376E5"/>
    <w:rsid w:val="006457CF"/>
    <w:rsid w:val="00651091"/>
    <w:rsid w:val="0065348D"/>
    <w:rsid w:val="00654989"/>
    <w:rsid w:val="006611CF"/>
    <w:rsid w:val="00661F0B"/>
    <w:rsid w:val="00664A24"/>
    <w:rsid w:val="00683EF3"/>
    <w:rsid w:val="00691AA8"/>
    <w:rsid w:val="006A76CA"/>
    <w:rsid w:val="006B37F1"/>
    <w:rsid w:val="006C01AF"/>
    <w:rsid w:val="006C5546"/>
    <w:rsid w:val="006C5B9E"/>
    <w:rsid w:val="006C6A78"/>
    <w:rsid w:val="006C7288"/>
    <w:rsid w:val="006D36F9"/>
    <w:rsid w:val="006E0029"/>
    <w:rsid w:val="006E7056"/>
    <w:rsid w:val="006F0BE8"/>
    <w:rsid w:val="006F435B"/>
    <w:rsid w:val="006F4393"/>
    <w:rsid w:val="006F49FA"/>
    <w:rsid w:val="006F78FE"/>
    <w:rsid w:val="007053AB"/>
    <w:rsid w:val="00720539"/>
    <w:rsid w:val="00721853"/>
    <w:rsid w:val="00726628"/>
    <w:rsid w:val="007277E1"/>
    <w:rsid w:val="007352CD"/>
    <w:rsid w:val="007420F8"/>
    <w:rsid w:val="00746469"/>
    <w:rsid w:val="0075567E"/>
    <w:rsid w:val="00765E37"/>
    <w:rsid w:val="00772C01"/>
    <w:rsid w:val="007747B6"/>
    <w:rsid w:val="00783A5E"/>
    <w:rsid w:val="007864F1"/>
    <w:rsid w:val="00793DE9"/>
    <w:rsid w:val="00794757"/>
    <w:rsid w:val="007A41F2"/>
    <w:rsid w:val="007C3759"/>
    <w:rsid w:val="007C56C6"/>
    <w:rsid w:val="007D7D60"/>
    <w:rsid w:val="007F3212"/>
    <w:rsid w:val="008045E1"/>
    <w:rsid w:val="008176B2"/>
    <w:rsid w:val="00821BA4"/>
    <w:rsid w:val="0083522C"/>
    <w:rsid w:val="008446CD"/>
    <w:rsid w:val="00862325"/>
    <w:rsid w:val="008657FE"/>
    <w:rsid w:val="00883645"/>
    <w:rsid w:val="008920B0"/>
    <w:rsid w:val="00894E77"/>
    <w:rsid w:val="0089546A"/>
    <w:rsid w:val="008A424F"/>
    <w:rsid w:val="008B1883"/>
    <w:rsid w:val="008B617B"/>
    <w:rsid w:val="008C2253"/>
    <w:rsid w:val="008C65EB"/>
    <w:rsid w:val="008D26BA"/>
    <w:rsid w:val="008D5F1D"/>
    <w:rsid w:val="008D6717"/>
    <w:rsid w:val="008E7760"/>
    <w:rsid w:val="008F3C43"/>
    <w:rsid w:val="008F5F48"/>
    <w:rsid w:val="0090422E"/>
    <w:rsid w:val="00906898"/>
    <w:rsid w:val="00917780"/>
    <w:rsid w:val="00936962"/>
    <w:rsid w:val="00951375"/>
    <w:rsid w:val="009613DC"/>
    <w:rsid w:val="00961415"/>
    <w:rsid w:val="00962661"/>
    <w:rsid w:val="00964044"/>
    <w:rsid w:val="00966BBB"/>
    <w:rsid w:val="00967E91"/>
    <w:rsid w:val="009714B0"/>
    <w:rsid w:val="00977A5F"/>
    <w:rsid w:val="00977A87"/>
    <w:rsid w:val="00984F8E"/>
    <w:rsid w:val="0098756C"/>
    <w:rsid w:val="00990335"/>
    <w:rsid w:val="0099285A"/>
    <w:rsid w:val="0099463C"/>
    <w:rsid w:val="00995F0D"/>
    <w:rsid w:val="009A05EE"/>
    <w:rsid w:val="009A1070"/>
    <w:rsid w:val="009A48B0"/>
    <w:rsid w:val="009B48FF"/>
    <w:rsid w:val="009B564D"/>
    <w:rsid w:val="009C6B13"/>
    <w:rsid w:val="009E0942"/>
    <w:rsid w:val="009E188F"/>
    <w:rsid w:val="009E32AD"/>
    <w:rsid w:val="009F236A"/>
    <w:rsid w:val="009F6805"/>
    <w:rsid w:val="009F752B"/>
    <w:rsid w:val="00A12538"/>
    <w:rsid w:val="00A23768"/>
    <w:rsid w:val="00A27173"/>
    <w:rsid w:val="00A34AA7"/>
    <w:rsid w:val="00A3721C"/>
    <w:rsid w:val="00A44C71"/>
    <w:rsid w:val="00A460D5"/>
    <w:rsid w:val="00A54138"/>
    <w:rsid w:val="00A54DDA"/>
    <w:rsid w:val="00A643F8"/>
    <w:rsid w:val="00A66992"/>
    <w:rsid w:val="00A67386"/>
    <w:rsid w:val="00A708D7"/>
    <w:rsid w:val="00A76415"/>
    <w:rsid w:val="00A77BFE"/>
    <w:rsid w:val="00A87C3A"/>
    <w:rsid w:val="00AA09F4"/>
    <w:rsid w:val="00AA2A8D"/>
    <w:rsid w:val="00AA4C14"/>
    <w:rsid w:val="00AC17F0"/>
    <w:rsid w:val="00AC2AE0"/>
    <w:rsid w:val="00AC4BFA"/>
    <w:rsid w:val="00AC7A23"/>
    <w:rsid w:val="00AD3E26"/>
    <w:rsid w:val="00AE1DF1"/>
    <w:rsid w:val="00AE425A"/>
    <w:rsid w:val="00AE43B7"/>
    <w:rsid w:val="00AF0A61"/>
    <w:rsid w:val="00AF1913"/>
    <w:rsid w:val="00B1340F"/>
    <w:rsid w:val="00B139E4"/>
    <w:rsid w:val="00B164DD"/>
    <w:rsid w:val="00B270D9"/>
    <w:rsid w:val="00B3540F"/>
    <w:rsid w:val="00B45E40"/>
    <w:rsid w:val="00B466F2"/>
    <w:rsid w:val="00B54CAC"/>
    <w:rsid w:val="00B6668B"/>
    <w:rsid w:val="00B67561"/>
    <w:rsid w:val="00B70B1A"/>
    <w:rsid w:val="00B71C6F"/>
    <w:rsid w:val="00B96DE2"/>
    <w:rsid w:val="00B97F01"/>
    <w:rsid w:val="00BA0052"/>
    <w:rsid w:val="00BA6E64"/>
    <w:rsid w:val="00BB1A73"/>
    <w:rsid w:val="00BB3C30"/>
    <w:rsid w:val="00BB4E8F"/>
    <w:rsid w:val="00BC5FE7"/>
    <w:rsid w:val="00BD22AC"/>
    <w:rsid w:val="00BD2643"/>
    <w:rsid w:val="00BD4058"/>
    <w:rsid w:val="00BD64D4"/>
    <w:rsid w:val="00BE78C2"/>
    <w:rsid w:val="00BF4F29"/>
    <w:rsid w:val="00BF5681"/>
    <w:rsid w:val="00BF7DEC"/>
    <w:rsid w:val="00C019EB"/>
    <w:rsid w:val="00C03D20"/>
    <w:rsid w:val="00C108BC"/>
    <w:rsid w:val="00C11645"/>
    <w:rsid w:val="00C1516A"/>
    <w:rsid w:val="00C16450"/>
    <w:rsid w:val="00C275E6"/>
    <w:rsid w:val="00C32C07"/>
    <w:rsid w:val="00C32E47"/>
    <w:rsid w:val="00C34BE7"/>
    <w:rsid w:val="00C428F9"/>
    <w:rsid w:val="00C4480F"/>
    <w:rsid w:val="00C449DE"/>
    <w:rsid w:val="00C45E21"/>
    <w:rsid w:val="00C4636C"/>
    <w:rsid w:val="00C52B51"/>
    <w:rsid w:val="00C6770A"/>
    <w:rsid w:val="00C70F49"/>
    <w:rsid w:val="00C7427E"/>
    <w:rsid w:val="00C764E9"/>
    <w:rsid w:val="00C900A9"/>
    <w:rsid w:val="00C95498"/>
    <w:rsid w:val="00C96EBA"/>
    <w:rsid w:val="00CA02F5"/>
    <w:rsid w:val="00CA481B"/>
    <w:rsid w:val="00CA4B57"/>
    <w:rsid w:val="00CA55F6"/>
    <w:rsid w:val="00CA5B41"/>
    <w:rsid w:val="00CC7504"/>
    <w:rsid w:val="00CD3119"/>
    <w:rsid w:val="00CE1CD9"/>
    <w:rsid w:val="00CF4137"/>
    <w:rsid w:val="00CF6078"/>
    <w:rsid w:val="00D04407"/>
    <w:rsid w:val="00D1225B"/>
    <w:rsid w:val="00D15735"/>
    <w:rsid w:val="00D22ED7"/>
    <w:rsid w:val="00D313F7"/>
    <w:rsid w:val="00D413F1"/>
    <w:rsid w:val="00D47FA5"/>
    <w:rsid w:val="00D5108C"/>
    <w:rsid w:val="00D5605B"/>
    <w:rsid w:val="00D6261E"/>
    <w:rsid w:val="00D63C74"/>
    <w:rsid w:val="00D65513"/>
    <w:rsid w:val="00D700B9"/>
    <w:rsid w:val="00D738A7"/>
    <w:rsid w:val="00D74838"/>
    <w:rsid w:val="00D80DBE"/>
    <w:rsid w:val="00D82B8D"/>
    <w:rsid w:val="00D90D76"/>
    <w:rsid w:val="00DA49A1"/>
    <w:rsid w:val="00DB2E93"/>
    <w:rsid w:val="00DC2CC0"/>
    <w:rsid w:val="00DD5149"/>
    <w:rsid w:val="00DD67C1"/>
    <w:rsid w:val="00DE590C"/>
    <w:rsid w:val="00DF39BD"/>
    <w:rsid w:val="00DF47A8"/>
    <w:rsid w:val="00DF6351"/>
    <w:rsid w:val="00DF7F48"/>
    <w:rsid w:val="00E01673"/>
    <w:rsid w:val="00E02B7A"/>
    <w:rsid w:val="00E07055"/>
    <w:rsid w:val="00E21AEB"/>
    <w:rsid w:val="00E2445B"/>
    <w:rsid w:val="00E33130"/>
    <w:rsid w:val="00E358C1"/>
    <w:rsid w:val="00E436DA"/>
    <w:rsid w:val="00E43922"/>
    <w:rsid w:val="00E45475"/>
    <w:rsid w:val="00E53639"/>
    <w:rsid w:val="00E549D9"/>
    <w:rsid w:val="00E569A0"/>
    <w:rsid w:val="00E76BA0"/>
    <w:rsid w:val="00E868B2"/>
    <w:rsid w:val="00E9186D"/>
    <w:rsid w:val="00E93051"/>
    <w:rsid w:val="00EB524C"/>
    <w:rsid w:val="00EC0A0C"/>
    <w:rsid w:val="00EC0E74"/>
    <w:rsid w:val="00EC6520"/>
    <w:rsid w:val="00ED1040"/>
    <w:rsid w:val="00ED47BD"/>
    <w:rsid w:val="00EE24A0"/>
    <w:rsid w:val="00EE3329"/>
    <w:rsid w:val="00F17738"/>
    <w:rsid w:val="00F21EA0"/>
    <w:rsid w:val="00F37865"/>
    <w:rsid w:val="00F453B9"/>
    <w:rsid w:val="00F45D66"/>
    <w:rsid w:val="00F6392A"/>
    <w:rsid w:val="00F67138"/>
    <w:rsid w:val="00F72574"/>
    <w:rsid w:val="00F737A1"/>
    <w:rsid w:val="00F73C92"/>
    <w:rsid w:val="00F77BB5"/>
    <w:rsid w:val="00F80249"/>
    <w:rsid w:val="00F90257"/>
    <w:rsid w:val="00F91FB0"/>
    <w:rsid w:val="00F9437E"/>
    <w:rsid w:val="00F955C9"/>
    <w:rsid w:val="00FA6E82"/>
    <w:rsid w:val="00FC2BA4"/>
    <w:rsid w:val="00FE0AC5"/>
    <w:rsid w:val="00FF18F8"/>
    <w:rsid w:val="00FF1DCB"/>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
    <w:rsid w:val="009C00E9"/>
    <w:rPr>
      <w:rFonts w:asciiTheme="majorHAnsi" w:eastAsiaTheme="majorEastAsia" w:hAnsiTheme="majorHAnsi" w:cstheme="majorBidi"/>
      <w:b/>
      <w:bCs/>
      <w:kern w:val="32"/>
      <w:sz w:val="32"/>
      <w:szCs w:val="32"/>
      <w:lang w:val="de-DE"/>
    </w:rPr>
  </w:style>
  <w:style w:type="character" w:customStyle="1" w:styleId="berschrift2Zchn1">
    <w:name w:val="Überschrift 2 Zchn1"/>
    <w:basedOn w:val="Absatz-Standardschriftart"/>
    <w:link w:val="berschrift2"/>
    <w:uiPriority w:val="9"/>
    <w:semiHidden/>
    <w:rsid w:val="009C00E9"/>
    <w:rPr>
      <w:rFonts w:asciiTheme="majorHAnsi" w:eastAsiaTheme="majorEastAsia" w:hAnsiTheme="majorHAnsi" w:cstheme="majorBidi"/>
      <w:b/>
      <w:bCs/>
      <w:i/>
      <w:iCs/>
      <w:sz w:val="28"/>
      <w:szCs w:val="28"/>
      <w:lang w:val="de-DE"/>
    </w:rPr>
  </w:style>
  <w:style w:type="character" w:customStyle="1" w:styleId="berschrift3Zchn">
    <w:name w:val="Überschrift 3 Zchn"/>
    <w:basedOn w:val="Absatz-Standardschriftart"/>
    <w:link w:val="berschrift3"/>
    <w:uiPriority w:val="9"/>
    <w:semiHidden/>
    <w:rsid w:val="009C00E9"/>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9C00E9"/>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9C00E9"/>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9C00E9"/>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9C00E9"/>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9C00E9"/>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9C00E9"/>
    <w:rPr>
      <w:b/>
      <w:bCs/>
      <w:sz w:val="20"/>
      <w:szCs w:val="20"/>
      <w:lang w:val="de-DE"/>
    </w:rPr>
  </w:style>
  <w:style w:type="table" w:styleId="Tabellenraster">
    <w:name w:val="Table Grid"/>
    <w:basedOn w:val="NormaleTabelle"/>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uiPriority w:val="99"/>
    <w:locked/>
    <w:rPr>
      <w:rFonts w:ascii="Verdana" w:hAnsi="Verdana"/>
      <w:b/>
      <w:color w:val="112E6B"/>
      <w:sz w:val="22"/>
      <w:lang w:val="de-DE"/>
    </w:r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F1HauptberschriftCharChar"/>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F1HauptberschriftCharChar"/>
    <w:uiPriority w:val="99"/>
    <w:locked/>
    <w:rPr>
      <w:rFonts w:ascii="Verdana" w:hAnsi="Verdana" w:cs="Times New Roman"/>
      <w:b/>
      <w:color w:val="112E6B"/>
      <w:sz w:val="22"/>
      <w:szCs w:val="22"/>
      <w:lang w:val="de-DE" w:bidi="ar-SA"/>
    </w:rPr>
  </w:style>
  <w:style w:type="character" w:customStyle="1" w:styleId="CharChar1">
    <w:name w:val="Char Char1"/>
    <w:basedOn w:val="F1HauptberschriftCharChar"/>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pPr>
      <w:ind w:right="1922"/>
      <w:jc w:val="both"/>
    </w:pPr>
    <w:rPr>
      <w:rFonts w:ascii="Arial" w:hAnsi="Arial" w:cs="Arial"/>
      <w:sz w:val="22"/>
      <w:szCs w:val="22"/>
    </w:rPr>
  </w:style>
  <w:style w:type="paragraph" w:customStyle="1" w:styleId="MMKurzprofil">
    <w:name w:val="MM Kurzprofil"/>
    <w:basedOn w:val="Standard"/>
    <w:autoRedefine/>
    <w:qFormat/>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qFormat/>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F1HauptberschriftCharChar"/>
    <w:uiPriority w:val="99"/>
    <w:rPr>
      <w:rFonts w:ascii="Verdana" w:hAnsi="Verdana" w:cs="Times New Roman"/>
      <w:b/>
      <w:color w:val="112E6B"/>
      <w:sz w:val="22"/>
      <w:szCs w:val="22"/>
      <w:lang w:val="de-DE" w:bidi="ar-SA"/>
    </w:rPr>
  </w:style>
  <w:style w:type="character" w:customStyle="1" w:styleId="MMU1Zchn">
    <w:name w:val="MM U1 Zchn"/>
    <w:basedOn w:val="F1HauptberschriftCharChar"/>
    <w:locked/>
    <w:rPr>
      <w:rFonts w:ascii="Arial" w:hAnsi="Arial" w:cs="Times New Roman"/>
      <w:b/>
      <w:bCs/>
      <w:color w:val="112E6B"/>
      <w:sz w:val="22"/>
      <w:szCs w:val="22"/>
      <w:lang w:val="de-DE" w:bidi="ar-SA"/>
    </w:rPr>
  </w:style>
  <w:style w:type="character" w:customStyle="1" w:styleId="MMU2Zchn">
    <w:name w:val="MM U2 Zchn"/>
    <w:basedOn w:val="F1HauptberschriftCharChar"/>
    <w:locked/>
    <w:rPr>
      <w:rFonts w:ascii="Arial" w:hAnsi="Arial" w:cs="Arial"/>
      <w:b/>
      <w:color w:val="112E6B"/>
      <w:sz w:val="24"/>
      <w:szCs w:val="24"/>
      <w:lang w:val="de-DE" w:bidi="ar-SA"/>
    </w:rPr>
  </w:style>
  <w:style w:type="character" w:customStyle="1" w:styleId="CharChar">
    <w:name w:val="Char Char"/>
    <w:basedOn w:val="Absatz-Standardschriftart"/>
    <w:uiPriority w:val="99"/>
    <w:locked/>
    <w:rPr>
      <w:rFonts w:ascii="Verdana" w:hAnsi="Verdana" w:cs="Times New Roman"/>
      <w:b/>
    </w:rPr>
  </w:style>
  <w:style w:type="character" w:customStyle="1" w:styleId="Formatvorlageberschrift3Rechts252cmNach6ptZchn">
    <w:name w:val="Formatvorlage Überschrift 3 + Rechts:  252 cm Nach:  6 pt Zchn"/>
    <w:basedOn w:val="CharChar"/>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locked/>
    <w:rPr>
      <w:rFonts w:ascii="Arial" w:hAnsi="Arial" w:cs="Arial"/>
      <w:sz w:val="22"/>
      <w:szCs w:val="22"/>
    </w:rPr>
  </w:style>
  <w:style w:type="character" w:customStyle="1" w:styleId="MMZwischenberschriftZchn">
    <w:name w:val="MM Zwischenüberschrift Zchn"/>
    <w:basedOn w:val="Absatz-Standardschriftart"/>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locked/>
    <w:rPr>
      <w:rFonts w:ascii="Arial" w:hAnsi="Arial" w:cs="Arial"/>
      <w:color w:val="000000"/>
    </w:rPr>
  </w:style>
  <w:style w:type="paragraph" w:styleId="Listenabsatz">
    <w:name w:val="List Paragraph"/>
    <w:basedOn w:val="Standard"/>
    <w:uiPriority w:val="99"/>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9686">
      <w:marLeft w:val="0"/>
      <w:marRight w:val="0"/>
      <w:marTop w:val="0"/>
      <w:marBottom w:val="0"/>
      <w:divBdr>
        <w:top w:val="none" w:sz="0" w:space="0" w:color="auto"/>
        <w:left w:val="none" w:sz="0" w:space="0" w:color="auto"/>
        <w:bottom w:val="none" w:sz="0" w:space="0" w:color="auto"/>
        <w:right w:val="none" w:sz="0" w:space="0" w:color="auto"/>
      </w:divBdr>
      <w:divsChild>
        <w:div w:id="123279683">
          <w:marLeft w:val="0"/>
          <w:marRight w:val="0"/>
          <w:marTop w:val="0"/>
          <w:marBottom w:val="0"/>
          <w:divBdr>
            <w:top w:val="none" w:sz="0" w:space="0" w:color="auto"/>
            <w:left w:val="none" w:sz="0" w:space="0" w:color="auto"/>
            <w:bottom w:val="none" w:sz="0" w:space="0" w:color="auto"/>
            <w:right w:val="none" w:sz="0" w:space="0" w:color="auto"/>
          </w:divBdr>
          <w:divsChild>
            <w:div w:id="123279687">
              <w:marLeft w:val="0"/>
              <w:marRight w:val="0"/>
              <w:marTop w:val="0"/>
              <w:marBottom w:val="0"/>
              <w:divBdr>
                <w:top w:val="none" w:sz="0" w:space="0" w:color="auto"/>
                <w:left w:val="none" w:sz="0" w:space="0" w:color="auto"/>
                <w:bottom w:val="none" w:sz="0" w:space="0" w:color="auto"/>
                <w:right w:val="none" w:sz="0" w:space="0" w:color="auto"/>
              </w:divBdr>
            </w:div>
            <w:div w:id="123279688">
              <w:marLeft w:val="0"/>
              <w:marRight w:val="0"/>
              <w:marTop w:val="0"/>
              <w:marBottom w:val="0"/>
              <w:divBdr>
                <w:top w:val="none" w:sz="0" w:space="0" w:color="auto"/>
                <w:left w:val="none" w:sz="0" w:space="0" w:color="auto"/>
                <w:bottom w:val="none" w:sz="0" w:space="0" w:color="auto"/>
                <w:right w:val="none" w:sz="0" w:space="0" w:color="auto"/>
              </w:divBdr>
            </w:div>
            <w:div w:id="123279689">
              <w:marLeft w:val="0"/>
              <w:marRight w:val="0"/>
              <w:marTop w:val="0"/>
              <w:marBottom w:val="0"/>
              <w:divBdr>
                <w:top w:val="none" w:sz="0" w:space="0" w:color="auto"/>
                <w:left w:val="none" w:sz="0" w:space="0" w:color="auto"/>
                <w:bottom w:val="none" w:sz="0" w:space="0" w:color="auto"/>
                <w:right w:val="none" w:sz="0" w:space="0" w:color="auto"/>
              </w:divBdr>
            </w:div>
            <w:div w:id="123279695">
              <w:marLeft w:val="0"/>
              <w:marRight w:val="0"/>
              <w:marTop w:val="0"/>
              <w:marBottom w:val="0"/>
              <w:divBdr>
                <w:top w:val="none" w:sz="0" w:space="0" w:color="auto"/>
                <w:left w:val="none" w:sz="0" w:space="0" w:color="auto"/>
                <w:bottom w:val="none" w:sz="0" w:space="0" w:color="auto"/>
                <w:right w:val="none" w:sz="0" w:space="0" w:color="auto"/>
              </w:divBdr>
            </w:div>
            <w:div w:id="123279698">
              <w:marLeft w:val="0"/>
              <w:marRight w:val="0"/>
              <w:marTop w:val="0"/>
              <w:marBottom w:val="0"/>
              <w:divBdr>
                <w:top w:val="none" w:sz="0" w:space="0" w:color="auto"/>
                <w:left w:val="none" w:sz="0" w:space="0" w:color="auto"/>
                <w:bottom w:val="none" w:sz="0" w:space="0" w:color="auto"/>
                <w:right w:val="none" w:sz="0" w:space="0" w:color="auto"/>
              </w:divBdr>
            </w:div>
            <w:div w:id="123279701">
              <w:marLeft w:val="0"/>
              <w:marRight w:val="0"/>
              <w:marTop w:val="0"/>
              <w:marBottom w:val="0"/>
              <w:divBdr>
                <w:top w:val="none" w:sz="0" w:space="0" w:color="auto"/>
                <w:left w:val="none" w:sz="0" w:space="0" w:color="auto"/>
                <w:bottom w:val="none" w:sz="0" w:space="0" w:color="auto"/>
                <w:right w:val="none" w:sz="0" w:space="0" w:color="auto"/>
              </w:divBdr>
            </w:div>
            <w:div w:id="1232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691">
      <w:marLeft w:val="0"/>
      <w:marRight w:val="0"/>
      <w:marTop w:val="0"/>
      <w:marBottom w:val="0"/>
      <w:divBdr>
        <w:top w:val="none" w:sz="0" w:space="0" w:color="auto"/>
        <w:left w:val="none" w:sz="0" w:space="0" w:color="auto"/>
        <w:bottom w:val="none" w:sz="0" w:space="0" w:color="auto"/>
        <w:right w:val="none" w:sz="0" w:space="0" w:color="auto"/>
      </w:divBdr>
      <w:divsChild>
        <w:div w:id="123279700">
          <w:marLeft w:val="0"/>
          <w:marRight w:val="0"/>
          <w:marTop w:val="0"/>
          <w:marBottom w:val="0"/>
          <w:divBdr>
            <w:top w:val="none" w:sz="0" w:space="0" w:color="auto"/>
            <w:left w:val="none" w:sz="0" w:space="0" w:color="auto"/>
            <w:bottom w:val="none" w:sz="0" w:space="0" w:color="auto"/>
            <w:right w:val="none" w:sz="0" w:space="0" w:color="auto"/>
          </w:divBdr>
          <w:divsChild>
            <w:div w:id="123279681">
              <w:marLeft w:val="0"/>
              <w:marRight w:val="0"/>
              <w:marTop w:val="0"/>
              <w:marBottom w:val="0"/>
              <w:divBdr>
                <w:top w:val="none" w:sz="0" w:space="0" w:color="auto"/>
                <w:left w:val="none" w:sz="0" w:space="0" w:color="auto"/>
                <w:bottom w:val="none" w:sz="0" w:space="0" w:color="auto"/>
                <w:right w:val="none" w:sz="0" w:space="0" w:color="auto"/>
              </w:divBdr>
            </w:div>
            <w:div w:id="123279692">
              <w:marLeft w:val="0"/>
              <w:marRight w:val="0"/>
              <w:marTop w:val="0"/>
              <w:marBottom w:val="0"/>
              <w:divBdr>
                <w:top w:val="none" w:sz="0" w:space="0" w:color="auto"/>
                <w:left w:val="none" w:sz="0" w:space="0" w:color="auto"/>
                <w:bottom w:val="none" w:sz="0" w:space="0" w:color="auto"/>
                <w:right w:val="none" w:sz="0" w:space="0" w:color="auto"/>
              </w:divBdr>
            </w:div>
            <w:div w:id="123279696">
              <w:marLeft w:val="0"/>
              <w:marRight w:val="0"/>
              <w:marTop w:val="0"/>
              <w:marBottom w:val="0"/>
              <w:divBdr>
                <w:top w:val="none" w:sz="0" w:space="0" w:color="auto"/>
                <w:left w:val="none" w:sz="0" w:space="0" w:color="auto"/>
                <w:bottom w:val="none" w:sz="0" w:space="0" w:color="auto"/>
                <w:right w:val="none" w:sz="0" w:space="0" w:color="auto"/>
              </w:divBdr>
            </w:div>
            <w:div w:id="1232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693">
      <w:marLeft w:val="0"/>
      <w:marRight w:val="0"/>
      <w:marTop w:val="0"/>
      <w:marBottom w:val="0"/>
      <w:divBdr>
        <w:top w:val="none" w:sz="0" w:space="0" w:color="auto"/>
        <w:left w:val="none" w:sz="0" w:space="0" w:color="auto"/>
        <w:bottom w:val="none" w:sz="0" w:space="0" w:color="auto"/>
        <w:right w:val="none" w:sz="0" w:space="0" w:color="auto"/>
      </w:divBdr>
    </w:div>
    <w:div w:id="123279694">
      <w:marLeft w:val="0"/>
      <w:marRight w:val="0"/>
      <w:marTop w:val="0"/>
      <w:marBottom w:val="0"/>
      <w:divBdr>
        <w:top w:val="none" w:sz="0" w:space="0" w:color="auto"/>
        <w:left w:val="none" w:sz="0" w:space="0" w:color="auto"/>
        <w:bottom w:val="none" w:sz="0" w:space="0" w:color="auto"/>
        <w:right w:val="none" w:sz="0" w:space="0" w:color="auto"/>
      </w:divBdr>
    </w:div>
    <w:div w:id="123279697">
      <w:marLeft w:val="0"/>
      <w:marRight w:val="0"/>
      <w:marTop w:val="0"/>
      <w:marBottom w:val="0"/>
      <w:divBdr>
        <w:top w:val="none" w:sz="0" w:space="0" w:color="auto"/>
        <w:left w:val="none" w:sz="0" w:space="0" w:color="auto"/>
        <w:bottom w:val="none" w:sz="0" w:space="0" w:color="auto"/>
        <w:right w:val="none" w:sz="0" w:space="0" w:color="auto"/>
      </w:divBdr>
      <w:divsChild>
        <w:div w:id="123279690">
          <w:marLeft w:val="0"/>
          <w:marRight w:val="0"/>
          <w:marTop w:val="0"/>
          <w:marBottom w:val="0"/>
          <w:divBdr>
            <w:top w:val="none" w:sz="0" w:space="0" w:color="auto"/>
            <w:left w:val="none" w:sz="0" w:space="0" w:color="auto"/>
            <w:bottom w:val="none" w:sz="0" w:space="0" w:color="auto"/>
            <w:right w:val="none" w:sz="0" w:space="0" w:color="auto"/>
          </w:divBdr>
          <w:divsChild>
            <w:div w:id="12327968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23279699">
      <w:marLeft w:val="0"/>
      <w:marRight w:val="0"/>
      <w:marTop w:val="0"/>
      <w:marBottom w:val="0"/>
      <w:divBdr>
        <w:top w:val="none" w:sz="0" w:space="0" w:color="auto"/>
        <w:left w:val="none" w:sz="0" w:space="0" w:color="auto"/>
        <w:bottom w:val="none" w:sz="0" w:space="0" w:color="auto"/>
        <w:right w:val="none" w:sz="0" w:space="0" w:color="auto"/>
      </w:divBdr>
      <w:divsChild>
        <w:div w:id="123279682">
          <w:marLeft w:val="0"/>
          <w:marRight w:val="0"/>
          <w:marTop w:val="0"/>
          <w:marBottom w:val="0"/>
          <w:divBdr>
            <w:top w:val="none" w:sz="0" w:space="0" w:color="auto"/>
            <w:left w:val="none" w:sz="0" w:space="0" w:color="auto"/>
            <w:bottom w:val="none" w:sz="0" w:space="0" w:color="auto"/>
            <w:right w:val="none" w:sz="0" w:space="0" w:color="auto"/>
          </w:divBdr>
          <w:divsChild>
            <w:div w:id="1232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gb13&amp;L=1" TargetMode="Externa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7763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2013-03-15T13:31:00Z</cp:lastPrinted>
  <dcterms:created xsi:type="dcterms:W3CDTF">2014-03-19T11:31:00Z</dcterms:created>
  <dcterms:modified xsi:type="dcterms:W3CDTF">2014-03-19T11:33:00Z</dcterms:modified>
</cp:coreProperties>
</file>