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66E8E" w14:textId="3609C9CE" w:rsidR="006E0029" w:rsidRPr="00441012" w:rsidRDefault="00E436DA" w:rsidP="00D47FA5">
      <w:pPr>
        <w:pStyle w:val="MMU1"/>
      </w:pPr>
      <w:r>
        <w:t xml:space="preserve">Leoni </w:t>
      </w:r>
      <w:r w:rsidR="00C91CC2">
        <w:t>steigert Ergebnis im ersten Quartal 2014 kräftig</w:t>
      </w:r>
    </w:p>
    <w:p w14:paraId="4CAC1B8C" w14:textId="70C03E8A" w:rsidR="003F74D0" w:rsidRPr="006F0BE8" w:rsidRDefault="00C91CC2" w:rsidP="006F0BE8">
      <w:pPr>
        <w:pStyle w:val="MMU2"/>
      </w:pPr>
      <w:r>
        <w:t xml:space="preserve">Dynamische Entwicklung im Automobil- und Industriegeschäft </w:t>
      </w:r>
    </w:p>
    <w:p w14:paraId="4F67C72C" w14:textId="72E4495C" w:rsidR="007D3F29" w:rsidRDefault="008B1883" w:rsidP="006F0BE8">
      <w:pPr>
        <w:pStyle w:val="MMVorspann"/>
      </w:pPr>
      <w:r>
        <w:t>Nürnberg</w:t>
      </w:r>
      <w:r w:rsidRPr="009A1070">
        <w:t xml:space="preserve">, </w:t>
      </w:r>
      <w:r w:rsidR="007950F6">
        <w:t xml:space="preserve">13. Mai </w:t>
      </w:r>
      <w:r w:rsidRPr="009A1070">
        <w:t>20</w:t>
      </w:r>
      <w:r>
        <w:t>1</w:t>
      </w:r>
      <w:r w:rsidR="003B48A6">
        <w:t>4</w:t>
      </w:r>
      <w:r w:rsidRPr="009A1070">
        <w:t xml:space="preserve"> – </w:t>
      </w:r>
      <w:r w:rsidR="007950F6">
        <w:t xml:space="preserve">Die </w:t>
      </w:r>
      <w:r>
        <w:t>Leoni</w:t>
      </w:r>
      <w:r w:rsidR="007950F6">
        <w:t xml:space="preserve"> AG ist dynamisch in das </w:t>
      </w:r>
      <w:r w:rsidR="0051560E">
        <w:t>laufende J</w:t>
      </w:r>
      <w:r w:rsidR="007950F6">
        <w:t>ahr gestartet. D</w:t>
      </w:r>
      <w:r w:rsidR="00420BD0">
        <w:t>e</w:t>
      </w:r>
      <w:r w:rsidR="007950F6">
        <w:t>r</w:t>
      </w:r>
      <w:r w:rsidR="00420BD0">
        <w:t xml:space="preserve"> </w:t>
      </w:r>
      <w:r w:rsidR="00420BD0" w:rsidRPr="0099285A">
        <w:t xml:space="preserve">führende </w:t>
      </w:r>
      <w:r w:rsidR="00420BD0">
        <w:t xml:space="preserve">europäische Anbieter von </w:t>
      </w:r>
      <w:r w:rsidR="00420BD0" w:rsidRPr="0099285A">
        <w:t>Kabel</w:t>
      </w:r>
      <w:r w:rsidR="00420BD0">
        <w:t>n und Kabels</w:t>
      </w:r>
      <w:r w:rsidR="00420BD0" w:rsidRPr="0099285A">
        <w:t>ystem</w:t>
      </w:r>
      <w:r w:rsidR="00420BD0">
        <w:t>en</w:t>
      </w:r>
      <w:r w:rsidR="00420BD0" w:rsidRPr="0099285A">
        <w:t xml:space="preserve"> für die Automobil</w:t>
      </w:r>
      <w:r w:rsidR="00420BD0">
        <w:t>branche</w:t>
      </w:r>
      <w:r w:rsidR="00420BD0" w:rsidRPr="0099285A">
        <w:t xml:space="preserve"> und weitere Industrien</w:t>
      </w:r>
      <w:r w:rsidR="00420BD0">
        <w:t xml:space="preserve"> </w:t>
      </w:r>
      <w:r w:rsidR="007950F6">
        <w:t xml:space="preserve">konnte seinen Konzernumsatz in den ersten drei Monaten </w:t>
      </w:r>
      <w:r w:rsidR="0051560E">
        <w:t xml:space="preserve">2014 </w:t>
      </w:r>
      <w:r w:rsidR="007950F6">
        <w:t>gemessen am entsprechenden Vorjahres</w:t>
      </w:r>
      <w:r w:rsidR="0051560E">
        <w:t>zeitraum</w:t>
      </w:r>
      <w:r w:rsidR="007950F6">
        <w:t xml:space="preserve"> um gut 6 Prozent auf </w:t>
      </w:r>
      <w:r w:rsidR="00AB5680">
        <w:t xml:space="preserve">den bisherigen Quartalsrekord von </w:t>
      </w:r>
      <w:r w:rsidR="007950F6">
        <w:t>1.020,2 Mio. Euro steigern</w:t>
      </w:r>
      <w:r w:rsidR="004F499C">
        <w:t xml:space="preserve"> (Vorjahr: 959,0 Mio. Euro)</w:t>
      </w:r>
      <w:r w:rsidR="007950F6">
        <w:t xml:space="preserve">. Das Ergebnis vor Zinsen und Steuern (EBIT) legte um </w:t>
      </w:r>
      <w:r w:rsidR="004F499C">
        <w:t xml:space="preserve">mehr als 31 Prozent auf 50,6 Mio. Euro zu (Vorjahr: 38,5 Mio. </w:t>
      </w:r>
      <w:r w:rsidR="009936F9">
        <w:t>Euro</w:t>
      </w:r>
      <w:r w:rsidR="004F499C">
        <w:t>), gestützt auf den höheren Umsatz, eine bessere Kapazitätsausl</w:t>
      </w:r>
      <w:r w:rsidR="007F514C">
        <w:t>astung und Zuwächse in margenstär</w:t>
      </w:r>
      <w:r w:rsidR="004F499C">
        <w:t>ke</w:t>
      </w:r>
      <w:r w:rsidR="007F514C">
        <w:t>re</w:t>
      </w:r>
      <w:r w:rsidR="004F499C">
        <w:t xml:space="preserve">n Geschäftsfeldern. Der Konzernüberschuss erhöhte sich um </w:t>
      </w:r>
      <w:r w:rsidR="0051560E">
        <w:t xml:space="preserve">gut </w:t>
      </w:r>
      <w:r w:rsidR="004F499C">
        <w:t>ein Drittel auf 31,6 Mio. Euro (Vorjahr: 22,6 Mio. Euro).</w:t>
      </w:r>
    </w:p>
    <w:p w14:paraId="65759228" w14:textId="18B585B3" w:rsidR="004F499C" w:rsidRDefault="00AB5680" w:rsidP="00E30FC7">
      <w:pPr>
        <w:pStyle w:val="MMFlietext"/>
      </w:pPr>
      <w:r>
        <w:t xml:space="preserve">Um weiter wachsen zu können und zur </w:t>
      </w:r>
      <w:r w:rsidR="00D22DFA">
        <w:t>Vorbereitung anstehender P</w:t>
      </w:r>
      <w:r>
        <w:t>rojekt</w:t>
      </w:r>
      <w:r w:rsidR="00D22DFA">
        <w:t>anläuf</w:t>
      </w:r>
      <w:r>
        <w:t>e investierte Leoni im Berichtszeitraum 35,1 Mio. Euro in Sachanlagen und immaterielle Vermögenswerte, fast 38 Prozent mehr als im ersten Quartal 2013</w:t>
      </w:r>
      <w:r w:rsidR="008901B2">
        <w:t xml:space="preserve"> (Vorjahr: 25,</w:t>
      </w:r>
      <w:r w:rsidR="00D22DFA">
        <w:t>5</w:t>
      </w:r>
      <w:r w:rsidR="008901B2">
        <w:t xml:space="preserve"> Mio. Euro)</w:t>
      </w:r>
      <w:r>
        <w:t>. Unter anderem wurde</w:t>
      </w:r>
      <w:r w:rsidR="0051560E">
        <w:t>n</w:t>
      </w:r>
      <w:r>
        <w:t xml:space="preserve"> Bordnetz-Werke in China, Mexiko und Serbien sowie </w:t>
      </w:r>
      <w:r w:rsidR="0051560E">
        <w:t>A</w:t>
      </w:r>
      <w:r>
        <w:t xml:space="preserve">utomobil- und Spezialkabelkapazitäten in Osteuropa </w:t>
      </w:r>
      <w:r w:rsidR="0051560E">
        <w:t>auf- und ausgebaut</w:t>
      </w:r>
      <w:r>
        <w:t xml:space="preserve">. </w:t>
      </w:r>
      <w:r w:rsidR="0051560E" w:rsidRPr="00E30FC7">
        <w:t xml:space="preserve">Vor allem </w:t>
      </w:r>
      <w:r w:rsidR="009C5E59" w:rsidRPr="00E30FC7">
        <w:t xml:space="preserve">an </w:t>
      </w:r>
      <w:r w:rsidR="0051560E" w:rsidRPr="00E30FC7">
        <w:t xml:space="preserve">diesen </w:t>
      </w:r>
      <w:r w:rsidR="009C5E59" w:rsidRPr="00E30FC7">
        <w:t>Standorten</w:t>
      </w:r>
      <w:r w:rsidR="0051560E" w:rsidRPr="00E30FC7">
        <w:t xml:space="preserve"> gab es in den ersten drei Monaten auch Neuein</w:t>
      </w:r>
      <w:r w:rsidR="0051560E">
        <w:t xml:space="preserve">stellungen, sodass sich </w:t>
      </w:r>
      <w:r>
        <w:t xml:space="preserve">die Zahl der </w:t>
      </w:r>
      <w:r w:rsidR="0051560E">
        <w:t>Leoni-</w:t>
      </w:r>
      <w:r>
        <w:t xml:space="preserve">Mitarbeiter </w:t>
      </w:r>
      <w:r w:rsidR="0051560E">
        <w:t xml:space="preserve">per Ende März 2014 </w:t>
      </w:r>
      <w:r>
        <w:t xml:space="preserve">weltweit </w:t>
      </w:r>
      <w:r w:rsidR="0051560E">
        <w:t xml:space="preserve">auf </w:t>
      </w:r>
      <w:r w:rsidR="008B5A55">
        <w:t>64.071 Arbeitnehmer</w:t>
      </w:r>
      <w:r w:rsidR="0051560E">
        <w:t xml:space="preserve"> erhöhte </w:t>
      </w:r>
      <w:r w:rsidR="00977E9C">
        <w:t>–</w:t>
      </w:r>
      <w:r w:rsidR="0051560E">
        <w:t xml:space="preserve"> </w:t>
      </w:r>
      <w:r w:rsidR="008B5A55">
        <w:t>2.480</w:t>
      </w:r>
      <w:r w:rsidR="00977E9C">
        <w:t xml:space="preserve"> </w:t>
      </w:r>
      <w:r w:rsidR="008B5A55">
        <w:t>Personen mehr als zum Jahreswechsel (31. Dezember 2013: 61.591). In Deutschland waren 4.224 Mitarb</w:t>
      </w:r>
      <w:r w:rsidR="006D0285">
        <w:t>e</w:t>
      </w:r>
      <w:r w:rsidR="008B5A55">
        <w:t>i</w:t>
      </w:r>
      <w:r w:rsidR="006D0285">
        <w:t>ter für Leoni tätig (31. Dezember 3013: 4.222)</w:t>
      </w:r>
      <w:r w:rsidR="0051560E">
        <w:t xml:space="preserve"> und im Ausland 59.847 (31. Dezember 2013: 57.369)</w:t>
      </w:r>
      <w:r w:rsidR="006D0285">
        <w:t xml:space="preserve">. </w:t>
      </w:r>
    </w:p>
    <w:p w14:paraId="6A74EB96" w14:textId="49E704C3" w:rsidR="004F499C" w:rsidRPr="001877AF" w:rsidRDefault="008B5A55" w:rsidP="00977E9C">
      <w:pPr>
        <w:pStyle w:val="MMZwischenberschrift"/>
      </w:pPr>
      <w:proofErr w:type="spellStart"/>
      <w:r w:rsidRPr="001877AF">
        <w:t>Wiring</w:t>
      </w:r>
      <w:proofErr w:type="spellEnd"/>
      <w:r w:rsidRPr="001877AF">
        <w:t xml:space="preserve"> Systems: </w:t>
      </w:r>
      <w:r w:rsidR="00977E9C">
        <w:t>H</w:t>
      </w:r>
      <w:r w:rsidR="006D0285" w:rsidRPr="001877AF">
        <w:t xml:space="preserve">ohe Nachfrage der </w:t>
      </w:r>
      <w:r w:rsidR="00977E9C">
        <w:t>Pkw- und Nutzfahr</w:t>
      </w:r>
      <w:r w:rsidR="006D0285" w:rsidRPr="001877AF">
        <w:t>zeug</w:t>
      </w:r>
      <w:r w:rsidR="00977E9C">
        <w:t>branche</w:t>
      </w:r>
    </w:p>
    <w:p w14:paraId="0F944B4C" w14:textId="5F5CC2BE" w:rsidR="008B6D44" w:rsidRDefault="0051560E" w:rsidP="00E30FC7">
      <w:pPr>
        <w:pStyle w:val="MMFlietext"/>
      </w:pPr>
      <w:r>
        <w:t>Im Zuge</w:t>
      </w:r>
      <w:r w:rsidR="006D0285">
        <w:t xml:space="preserve"> der anhaltend </w:t>
      </w:r>
      <w:r>
        <w:t>positiv</w:t>
      </w:r>
      <w:r w:rsidR="006D0285">
        <w:t xml:space="preserve">en globalen Automobilkonjunktur stieg der Umsatz </w:t>
      </w:r>
      <w:r w:rsidR="008B6D44">
        <w:t xml:space="preserve">mit Bordnetz-Systemen und Kabelsätzen </w:t>
      </w:r>
      <w:r w:rsidR="006D0285">
        <w:t xml:space="preserve">im Unternehmensbereich </w:t>
      </w:r>
      <w:proofErr w:type="spellStart"/>
      <w:r w:rsidR="006D0285">
        <w:t>Wiring</w:t>
      </w:r>
      <w:proofErr w:type="spellEnd"/>
      <w:r w:rsidR="006D0285">
        <w:t xml:space="preserve"> Systems von Januar bis März 2014 gegenüber dem entsprechenden Vorjahreszeitraum um mehr als 5 Prozent auf 597,7 Mio. Euro (Vorjahr: 567,8 </w:t>
      </w:r>
      <w:r w:rsidR="006D0285">
        <w:lastRenderedPageBreak/>
        <w:t xml:space="preserve">Mio. Euro). </w:t>
      </w:r>
      <w:r w:rsidR="00862325">
        <w:t xml:space="preserve">Leoni </w:t>
      </w:r>
      <w:r w:rsidR="006D0285">
        <w:t xml:space="preserve">profitierte erneut von der guten Marktstellung seiner exportstarken deutschen Kunden </w:t>
      </w:r>
      <w:r w:rsidR="008B6D44">
        <w:t>in Asien und Nordamerika, aber auch von der Erholung der französischen Pkw-Hersteller. Hinzu kam ein wachsender Bedarf an komplexen Motorkabelsätzen für die Nutzfahrzeugindustrie in Europa und den USA aufgrund von verschärften Abgasnormen. Auch der Umsatz mit der internationalen Zulieferindustrie legte zu. Das E</w:t>
      </w:r>
      <w:r w:rsidR="00575181">
        <w:t>BIT</w:t>
      </w:r>
      <w:r w:rsidR="008B6D44">
        <w:t xml:space="preserve"> des Unternehmensbereichs kletterte um rund 30 Prozent auf 31,8 Mio. Euro</w:t>
      </w:r>
      <w:r w:rsidR="00B84E7F">
        <w:t xml:space="preserve"> (Vorjahr: </w:t>
      </w:r>
      <w:r w:rsidR="008B6D44" w:rsidRPr="00D22DFA">
        <w:t>24,3 Mio. Euro</w:t>
      </w:r>
      <w:r w:rsidR="00B84E7F">
        <w:t>)</w:t>
      </w:r>
      <w:r w:rsidR="008B6D44">
        <w:t xml:space="preserve">. </w:t>
      </w:r>
    </w:p>
    <w:p w14:paraId="1C2EE24A" w14:textId="16B675B8" w:rsidR="008B6D44" w:rsidRPr="001877AF" w:rsidRDefault="008B6D44" w:rsidP="00977E9C">
      <w:pPr>
        <w:pStyle w:val="MMZwischenberschrift"/>
      </w:pPr>
      <w:proofErr w:type="spellStart"/>
      <w:r w:rsidRPr="001877AF">
        <w:t>Wire</w:t>
      </w:r>
      <w:proofErr w:type="spellEnd"/>
      <w:r w:rsidRPr="001877AF">
        <w:t xml:space="preserve"> &amp; Cable Solutions: </w:t>
      </w:r>
      <w:r w:rsidR="00977E9C">
        <w:t xml:space="preserve">Spürbar </w:t>
      </w:r>
      <w:r w:rsidRPr="001877AF">
        <w:t>belebtes Industriegeschäft</w:t>
      </w:r>
    </w:p>
    <w:p w14:paraId="5DEA32AC" w14:textId="2AB51081" w:rsidR="00575181" w:rsidRDefault="008B6D44" w:rsidP="00E30FC7">
      <w:pPr>
        <w:pStyle w:val="MMFlietext"/>
      </w:pPr>
      <w:r>
        <w:t xml:space="preserve">Der Unternehmensbereich </w:t>
      </w:r>
      <w:proofErr w:type="spellStart"/>
      <w:r>
        <w:t>Wire</w:t>
      </w:r>
      <w:proofErr w:type="spellEnd"/>
      <w:r>
        <w:t xml:space="preserve"> &amp; Cable Solutions erhöhte seinen Umsatz i</w:t>
      </w:r>
      <w:r w:rsidR="0051560E">
        <w:t>m</w:t>
      </w:r>
      <w:r>
        <w:t xml:space="preserve"> ersten Quartal 2014 um 8 Prozent auf 422,6 Mio. Euro</w:t>
      </w:r>
      <w:r w:rsidR="0051560E">
        <w:t xml:space="preserve"> (Vorjahr: 391,2</w:t>
      </w:r>
      <w:r w:rsidR="008901B2">
        <w:t xml:space="preserve"> Mio. Euro</w:t>
      </w:r>
      <w:r w:rsidR="0051560E">
        <w:t>)</w:t>
      </w:r>
      <w:r w:rsidR="00575181">
        <w:t xml:space="preserve">. Die Nachfrage nach Fahrzeugleitungen blieb in Asien und Amerika unverändert hoch und gewann dank der Konjunkturbelebung in Europa </w:t>
      </w:r>
      <w:r w:rsidR="009C4DAB">
        <w:t>ebenfalls an Schwung. Das günstiger</w:t>
      </w:r>
      <w:r w:rsidR="00575181">
        <w:t xml:space="preserve">e wirtschaftliche Umfeld führte bei Leoni auch zu </w:t>
      </w:r>
      <w:r w:rsidR="00977E9C">
        <w:t xml:space="preserve">spürbar </w:t>
      </w:r>
      <w:r w:rsidR="00575181">
        <w:t>mehr Umsatz in den strategisch wichtigen Industriebereichen, also bei Kabeln und Kabelsystemen für die Investitionsgüter- und Medizintechnikindustrie</w:t>
      </w:r>
      <w:r w:rsidR="00977E9C">
        <w:t xml:space="preserve"> sowie für </w:t>
      </w:r>
      <w:r w:rsidR="00575181">
        <w:t>Kommunikation und Infrastrukturprojekte. Die verbes</w:t>
      </w:r>
      <w:r w:rsidR="007F514C">
        <w:t>serte Auslastung</w:t>
      </w:r>
      <w:r w:rsidR="00575181">
        <w:t xml:space="preserve"> trug dazu bei, dass sich das EBIT im Segment </w:t>
      </w:r>
      <w:proofErr w:type="spellStart"/>
      <w:r w:rsidR="00575181">
        <w:t>Wire</w:t>
      </w:r>
      <w:proofErr w:type="spellEnd"/>
      <w:r w:rsidR="00575181">
        <w:t xml:space="preserve"> &amp; Cable Solutions </w:t>
      </w:r>
      <w:r w:rsidR="00575181" w:rsidRPr="00E30FC7">
        <w:t>um fast 34 Prozent auf 18,8 Mio. Euro vergrößerte (Vorjahr: 14,</w:t>
      </w:r>
      <w:r w:rsidR="009C5E59" w:rsidRPr="00E30FC7">
        <w:t>1</w:t>
      </w:r>
      <w:r w:rsidR="00575181" w:rsidRPr="00E30FC7">
        <w:t xml:space="preserve"> Mio. Euro),</w:t>
      </w:r>
      <w:r w:rsidR="00575181">
        <w:t xml:space="preserve"> obwoh</w:t>
      </w:r>
      <w:r w:rsidR="009C4DAB">
        <w:t xml:space="preserve">l </w:t>
      </w:r>
      <w:r w:rsidR="00977E9C">
        <w:t xml:space="preserve">in der Berichtsperiode </w:t>
      </w:r>
      <w:r w:rsidR="00D22DFA">
        <w:t xml:space="preserve">Belastungen </w:t>
      </w:r>
      <w:r w:rsidR="009C4DAB">
        <w:t>in H</w:t>
      </w:r>
      <w:r w:rsidR="00575181">
        <w:t xml:space="preserve">öhe von </w:t>
      </w:r>
      <w:r w:rsidR="00D22DFA">
        <w:t>3,</w:t>
      </w:r>
      <w:r w:rsidR="00B84E7F">
        <w:t>5</w:t>
      </w:r>
      <w:r w:rsidR="00575181">
        <w:t xml:space="preserve"> Mio. Euro </w:t>
      </w:r>
      <w:r w:rsidR="00D22DFA">
        <w:t>(Vorjahr: 0,</w:t>
      </w:r>
      <w:r w:rsidR="00B84E7F">
        <w:t>3</w:t>
      </w:r>
      <w:r w:rsidR="00D22DFA">
        <w:t xml:space="preserve"> Mio. Euro) aufgrund des zum Quartalsende stark gesunkenen Marktpreises für Kupfer </w:t>
      </w:r>
      <w:r w:rsidR="00575181">
        <w:t xml:space="preserve">verkraftet werden mussten. </w:t>
      </w:r>
    </w:p>
    <w:p w14:paraId="785447AC" w14:textId="1D38B430" w:rsidR="00575181" w:rsidRPr="00366D0B" w:rsidRDefault="00575181" w:rsidP="00977E9C">
      <w:pPr>
        <w:pStyle w:val="MMZwischenberschrift"/>
      </w:pPr>
      <w:r w:rsidRPr="00366D0B">
        <w:t>Neue Aufträge untermauern Wachstumspläne</w:t>
      </w:r>
    </w:p>
    <w:p w14:paraId="236558A6" w14:textId="58F4F527" w:rsidR="00575181" w:rsidRDefault="00575181" w:rsidP="00E30FC7">
      <w:pPr>
        <w:pStyle w:val="MMFlietext"/>
      </w:pPr>
      <w:r>
        <w:t xml:space="preserve">Neben der dynamischen Entwicklung im ersten Quartal untermauern auch </w:t>
      </w:r>
      <w:r w:rsidR="00366D0B">
        <w:t xml:space="preserve">verschiedene neue Aufträge die Prognosen für 2014 und die Folgejahre: Im Unternehmensbereich </w:t>
      </w:r>
      <w:proofErr w:type="spellStart"/>
      <w:r w:rsidR="00366D0B">
        <w:t>Wiring</w:t>
      </w:r>
      <w:proofErr w:type="spellEnd"/>
      <w:r w:rsidR="00366D0B">
        <w:t xml:space="preserve"> Systems gingen beispielsweise neue Bestellungen von französischen Automobilherstellern sowie aus der internationalen Nutzfahrzeug- und Zulieferindustri</w:t>
      </w:r>
      <w:r w:rsidR="009C4DAB">
        <w:t xml:space="preserve">e ein. Der Unternehmensbereich </w:t>
      </w:r>
      <w:proofErr w:type="spellStart"/>
      <w:r w:rsidR="009C4DAB">
        <w:t>W</w:t>
      </w:r>
      <w:r w:rsidR="00366D0B">
        <w:t>ire</w:t>
      </w:r>
      <w:proofErr w:type="spellEnd"/>
      <w:r w:rsidR="00366D0B">
        <w:t xml:space="preserve"> &amp; Cable </w:t>
      </w:r>
      <w:r w:rsidR="00366D0B" w:rsidRPr="003C5273">
        <w:t xml:space="preserve">Solutions wurde unter </w:t>
      </w:r>
      <w:r w:rsidR="008350CF" w:rsidRPr="003C5273">
        <w:t xml:space="preserve">anderem </w:t>
      </w:r>
      <w:r w:rsidR="00B84E7F" w:rsidRPr="003C5273">
        <w:t>mit der Lieferung von Fahrzeugleitungen für eine Pkw-Plattform eines US-</w:t>
      </w:r>
      <w:r w:rsidR="00366D0B" w:rsidRPr="003C5273">
        <w:t>amerikanischen Hersteller</w:t>
      </w:r>
      <w:r w:rsidR="008350CF" w:rsidRPr="003C5273">
        <w:t>s</w:t>
      </w:r>
      <w:r w:rsidR="00366D0B" w:rsidRPr="003C5273">
        <w:t xml:space="preserve"> beauftragt</w:t>
      </w:r>
      <w:r w:rsidR="007F514C" w:rsidRPr="003C5273">
        <w:t>. Außerdem wird Leoni</w:t>
      </w:r>
      <w:r w:rsidR="00366D0B" w:rsidRPr="003C5273">
        <w:t xml:space="preserve"> </w:t>
      </w:r>
      <w:r w:rsidR="008350CF" w:rsidRPr="003C5273">
        <w:t xml:space="preserve">hochwertige </w:t>
      </w:r>
      <w:r w:rsidR="00366D0B" w:rsidRPr="003C5273">
        <w:t>Kabel</w:t>
      </w:r>
      <w:r w:rsidR="008350CF" w:rsidRPr="003C5273">
        <w:t>systeme</w:t>
      </w:r>
      <w:r w:rsidR="00366D0B" w:rsidRPr="003C5273">
        <w:t xml:space="preserve"> für Roboter eines deutschen</w:t>
      </w:r>
      <w:r w:rsidR="00366D0B">
        <w:t xml:space="preserve"> Automobilproduzenten liefern und </w:t>
      </w:r>
      <w:r w:rsidR="00366D0B">
        <w:lastRenderedPageBreak/>
        <w:t xml:space="preserve">die weltweit größte Öl- und Gasraffinerie in Indien mit Spezialkabeln ausstatten. Für 2014 rechnet Leoni nach wie vor mit einem Anstieg des Konzernumsatzes auf ca. 4,1 Mrd. Euro (2013: 3,9 Mrd. Euro) und einem EBIT von mehr als 200 Mio. Euro (2013: 163,1 Mio. Euro). </w:t>
      </w:r>
    </w:p>
    <w:p w14:paraId="75743D28" w14:textId="7A865B4A" w:rsidR="005456EE" w:rsidRPr="009936F9" w:rsidRDefault="005456EE" w:rsidP="00E30FC7">
      <w:pPr>
        <w:pStyle w:val="MMFlietext"/>
        <w:rPr>
          <w:i/>
        </w:rPr>
      </w:pPr>
      <w:r w:rsidRPr="009936F9">
        <w:rPr>
          <w:i/>
        </w:rPr>
        <w:t>(</w:t>
      </w:r>
      <w:r w:rsidR="00CB5E9A" w:rsidRPr="009936F9">
        <w:rPr>
          <w:i/>
        </w:rPr>
        <w:t>4.</w:t>
      </w:r>
      <w:r w:rsidR="009936F9">
        <w:rPr>
          <w:i/>
        </w:rPr>
        <w:t>4</w:t>
      </w:r>
      <w:r w:rsidR="003C5273">
        <w:rPr>
          <w:i/>
        </w:rPr>
        <w:t>35</w:t>
      </w:r>
      <w:bookmarkStart w:id="0" w:name="_GoBack"/>
      <w:bookmarkEnd w:id="0"/>
      <w:r w:rsidRPr="009936F9">
        <w:rPr>
          <w:i/>
        </w:rPr>
        <w:t xml:space="preserve"> Anschläge inkl. Leerzeichen)</w:t>
      </w:r>
    </w:p>
    <w:p w14:paraId="075B1ADA" w14:textId="77777777" w:rsidR="005456EE" w:rsidRPr="009714B0" w:rsidRDefault="005456EE" w:rsidP="005456EE">
      <w:pPr>
        <w:pStyle w:val="MMKurzprofilberschrift"/>
        <w:spacing w:after="120"/>
      </w:pPr>
      <w:r w:rsidRPr="009714B0">
        <w:t>Leoni-Konzernzahlen im Überblick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1276"/>
        <w:gridCol w:w="1276"/>
      </w:tblGrid>
      <w:tr w:rsidR="005456EE" w:rsidRPr="00DF6351" w14:paraId="3DA1B183" w14:textId="77777777" w:rsidTr="00E436DA">
        <w:tc>
          <w:tcPr>
            <w:tcW w:w="4077" w:type="dxa"/>
          </w:tcPr>
          <w:p w14:paraId="4D21BF4A" w14:textId="77777777" w:rsidR="005456EE" w:rsidRPr="00DF6351" w:rsidRDefault="005456EE" w:rsidP="00E436DA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F6351">
              <w:rPr>
                <w:rFonts w:ascii="Arial" w:hAnsi="Arial" w:cs="Arial"/>
                <w:b/>
                <w:sz w:val="18"/>
                <w:szCs w:val="18"/>
              </w:rPr>
              <w:t>Kennzahlen Konzern</w:t>
            </w:r>
          </w:p>
        </w:tc>
        <w:tc>
          <w:tcPr>
            <w:tcW w:w="1276" w:type="dxa"/>
          </w:tcPr>
          <w:p w14:paraId="22B44629" w14:textId="32C6BBC5" w:rsidR="005456EE" w:rsidRPr="00BE78C2" w:rsidRDefault="00C70CB1" w:rsidP="00C70CB1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Quartal</w:t>
            </w:r>
            <w:r w:rsidR="00C06D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56EE" w:rsidRPr="00BE78C2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C06D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78F46949" w14:textId="0E5A8352" w:rsidR="005456EE" w:rsidRPr="00BE78C2" w:rsidRDefault="00C70CB1" w:rsidP="00C70CB1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Quartal </w:t>
            </w:r>
            <w:r w:rsidR="005456EE" w:rsidRPr="00BE78C2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C06D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5377FFEB" w14:textId="77777777" w:rsidR="005456EE" w:rsidRPr="00BE78C2" w:rsidRDefault="005456EE" w:rsidP="00E436DA">
            <w:pPr>
              <w:tabs>
                <w:tab w:val="left" w:pos="8505"/>
              </w:tabs>
              <w:ind w:left="-13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BE78C2">
              <w:rPr>
                <w:rFonts w:ascii="Arial" w:hAnsi="Arial" w:cs="Arial"/>
                <w:b/>
                <w:sz w:val="18"/>
                <w:szCs w:val="18"/>
              </w:rPr>
              <w:t>Veränderung</w:t>
            </w:r>
          </w:p>
        </w:tc>
      </w:tr>
      <w:tr w:rsidR="00BE78C2" w:rsidRPr="00DF6351" w14:paraId="1F007442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7F23D1F1" w14:textId="77777777" w:rsidR="00BE78C2" w:rsidRPr="00DF6351" w:rsidRDefault="00BE78C2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DF6351">
              <w:rPr>
                <w:rFonts w:ascii="Arial" w:hAnsi="Arial" w:cs="Arial"/>
                <w:sz w:val="18"/>
                <w:szCs w:val="18"/>
              </w:rPr>
              <w:t>msatz</w:t>
            </w:r>
            <w:r>
              <w:rPr>
                <w:rFonts w:ascii="Arial" w:hAnsi="Arial" w:cs="Arial"/>
                <w:sz w:val="18"/>
                <w:szCs w:val="18"/>
              </w:rPr>
              <w:t>erlöse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14:paraId="1C3A0536" w14:textId="5090D21B" w:rsidR="00BE78C2" w:rsidRPr="00BE78C2" w:rsidRDefault="00C06DC9" w:rsidP="00BE78C2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1.020,2</w:t>
            </w:r>
          </w:p>
        </w:tc>
        <w:tc>
          <w:tcPr>
            <w:tcW w:w="1276" w:type="dxa"/>
            <w:vAlign w:val="center"/>
          </w:tcPr>
          <w:p w14:paraId="78E6A96D" w14:textId="5ED92575" w:rsidR="00BE78C2" w:rsidRPr="00BE78C2" w:rsidRDefault="00C06DC9" w:rsidP="00E5363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959,0</w:t>
            </w:r>
          </w:p>
        </w:tc>
        <w:tc>
          <w:tcPr>
            <w:tcW w:w="1276" w:type="dxa"/>
            <w:vAlign w:val="center"/>
          </w:tcPr>
          <w:p w14:paraId="43FEBF5F" w14:textId="01B0CFB7" w:rsidR="00BE78C2" w:rsidRPr="00BE78C2" w:rsidRDefault="00C06DC9" w:rsidP="00CE1CD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6,4 %</w:t>
            </w:r>
          </w:p>
        </w:tc>
      </w:tr>
      <w:tr w:rsidR="001877AF" w:rsidRPr="00DF6351" w14:paraId="555C6416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5133CD4E" w14:textId="39AFF9F1" w:rsidR="001877AF" w:rsidRPr="00DF6351" w:rsidRDefault="001877AF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174DF">
              <w:rPr>
                <w:rFonts w:ascii="Arial" w:hAnsi="Arial" w:cs="Arial"/>
                <w:sz w:val="18"/>
                <w:szCs w:val="18"/>
              </w:rPr>
              <w:t xml:space="preserve">Ergebnis vor Zinsen, Steuern und Abschreibungen (EBITDA) [Mio. </w:t>
            </w:r>
            <w:r w:rsidRPr="007174DF"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1276" w:type="dxa"/>
            <w:vAlign w:val="center"/>
          </w:tcPr>
          <w:p w14:paraId="4B580366" w14:textId="6375FABA" w:rsidR="001877AF" w:rsidRDefault="001877AF" w:rsidP="00BE78C2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80,7</w:t>
            </w:r>
          </w:p>
        </w:tc>
        <w:tc>
          <w:tcPr>
            <w:tcW w:w="1276" w:type="dxa"/>
            <w:vAlign w:val="center"/>
          </w:tcPr>
          <w:p w14:paraId="0A8746A3" w14:textId="4020A256" w:rsidR="001877AF" w:rsidRDefault="001877AF" w:rsidP="00072185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68,2</w:t>
            </w:r>
          </w:p>
        </w:tc>
        <w:tc>
          <w:tcPr>
            <w:tcW w:w="1276" w:type="dxa"/>
            <w:vAlign w:val="center"/>
          </w:tcPr>
          <w:p w14:paraId="02AD81E2" w14:textId="3F00A53E" w:rsidR="001877AF" w:rsidRPr="00E30FC7" w:rsidRDefault="001877AF" w:rsidP="0089546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E30FC7">
              <w:rPr>
                <w:rFonts w:ascii="Arial" w:hAnsi="Arial" w:cs="Arial"/>
                <w:sz w:val="18"/>
                <w:szCs w:val="18"/>
              </w:rPr>
              <w:t>18,3 %</w:t>
            </w:r>
          </w:p>
        </w:tc>
      </w:tr>
      <w:tr w:rsidR="001877AF" w:rsidRPr="00DF6351" w14:paraId="72330993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6F78CC29" w14:textId="3B1C6632" w:rsidR="001877AF" w:rsidRPr="00DF6351" w:rsidRDefault="001877AF" w:rsidP="00E436D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174DF">
              <w:rPr>
                <w:rFonts w:ascii="Arial" w:hAnsi="Arial" w:cs="Arial"/>
                <w:sz w:val="18"/>
                <w:szCs w:val="18"/>
              </w:rPr>
              <w:t xml:space="preserve">Ergebnis vor Zinsen und Steuern (EBIT) [Mio. </w:t>
            </w:r>
            <w:r w:rsidRPr="007174DF"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1276" w:type="dxa"/>
            <w:vAlign w:val="center"/>
          </w:tcPr>
          <w:p w14:paraId="083D25FA" w14:textId="4B7ED691" w:rsidR="001877AF" w:rsidRPr="00BE78C2" w:rsidRDefault="001877AF" w:rsidP="00BE78C2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</w:t>
            </w:r>
          </w:p>
        </w:tc>
        <w:tc>
          <w:tcPr>
            <w:tcW w:w="1276" w:type="dxa"/>
            <w:vAlign w:val="center"/>
          </w:tcPr>
          <w:p w14:paraId="2CE69CA5" w14:textId="5BFA4314" w:rsidR="001877AF" w:rsidRPr="00BE78C2" w:rsidRDefault="001877AF" w:rsidP="00072185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  <w:tc>
          <w:tcPr>
            <w:tcW w:w="1276" w:type="dxa"/>
            <w:vAlign w:val="center"/>
          </w:tcPr>
          <w:p w14:paraId="261441F5" w14:textId="055B7FAD" w:rsidR="001877AF" w:rsidRPr="00E30FC7" w:rsidRDefault="001877AF" w:rsidP="009F30A8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E30FC7">
              <w:rPr>
                <w:rFonts w:ascii="Arial" w:hAnsi="Arial" w:cs="Arial"/>
                <w:sz w:val="18"/>
                <w:szCs w:val="18"/>
              </w:rPr>
              <w:t>31,</w:t>
            </w:r>
            <w:r w:rsidR="009F30A8" w:rsidRPr="00E30FC7">
              <w:rPr>
                <w:rFonts w:ascii="Arial" w:hAnsi="Arial" w:cs="Arial"/>
                <w:sz w:val="18"/>
                <w:szCs w:val="18"/>
              </w:rPr>
              <w:t>5</w:t>
            </w:r>
            <w:r w:rsidRPr="00E30FC7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1877AF" w:rsidRPr="00DF6351" w14:paraId="527A27A9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2B0347BC" w14:textId="0033593D" w:rsidR="001877AF" w:rsidRPr="00DF6351" w:rsidRDefault="001877AF" w:rsidP="001877AF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174DF">
              <w:rPr>
                <w:rFonts w:ascii="Arial" w:hAnsi="Arial" w:cs="Arial"/>
                <w:sz w:val="18"/>
                <w:szCs w:val="18"/>
              </w:rPr>
              <w:t>Bereinigtes E</w:t>
            </w:r>
            <w:r>
              <w:rPr>
                <w:rFonts w:ascii="Arial" w:hAnsi="Arial" w:cs="Arial"/>
                <w:sz w:val="18"/>
                <w:szCs w:val="18"/>
              </w:rPr>
              <w:t>BIT *</w:t>
            </w:r>
            <w:r w:rsidRPr="007174DF">
              <w:rPr>
                <w:rFonts w:ascii="Arial" w:hAnsi="Arial" w:cs="Arial"/>
                <w:sz w:val="18"/>
                <w:szCs w:val="18"/>
              </w:rPr>
              <w:t xml:space="preserve"> [Mio. </w:t>
            </w:r>
            <w:r w:rsidRPr="007174DF"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1276" w:type="dxa"/>
            <w:vAlign w:val="center"/>
          </w:tcPr>
          <w:p w14:paraId="37E3D08A" w14:textId="2AEC3E45" w:rsidR="001877AF" w:rsidRPr="00BE78C2" w:rsidRDefault="001877AF" w:rsidP="00BE78C2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1276" w:type="dxa"/>
            <w:vAlign w:val="center"/>
          </w:tcPr>
          <w:p w14:paraId="39C3FE6C" w14:textId="441D950A" w:rsidR="001877AF" w:rsidRPr="00BE78C2" w:rsidRDefault="001877AF" w:rsidP="00072185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1276" w:type="dxa"/>
            <w:vAlign w:val="center"/>
          </w:tcPr>
          <w:p w14:paraId="2F04493B" w14:textId="3C886138" w:rsidR="001877AF" w:rsidRPr="00E30FC7" w:rsidRDefault="001877AF" w:rsidP="0089546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E30FC7">
              <w:rPr>
                <w:rFonts w:ascii="Arial" w:hAnsi="Arial" w:cs="Arial"/>
                <w:sz w:val="18"/>
                <w:szCs w:val="18"/>
              </w:rPr>
              <w:t>22,8 %</w:t>
            </w:r>
          </w:p>
        </w:tc>
      </w:tr>
      <w:tr w:rsidR="001877AF" w:rsidRPr="00DF6351" w14:paraId="7C0AA50D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33506652" w14:textId="5BC0C40D" w:rsidR="001877AF" w:rsidRPr="00DF6351" w:rsidRDefault="001877AF" w:rsidP="002D3B75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174DF">
              <w:rPr>
                <w:rFonts w:ascii="Arial" w:hAnsi="Arial" w:cs="Arial"/>
                <w:sz w:val="18"/>
                <w:szCs w:val="18"/>
              </w:rPr>
              <w:t xml:space="preserve">Ergebnis vor Steuern (EBT) [Mio. </w:t>
            </w:r>
            <w:r w:rsidRPr="007174DF"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1276" w:type="dxa"/>
            <w:vAlign w:val="center"/>
          </w:tcPr>
          <w:p w14:paraId="2E722F28" w14:textId="0D3B1F17" w:rsidR="001877AF" w:rsidRPr="00BE78C2" w:rsidRDefault="001877AF" w:rsidP="00BE78C2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43,7</w:t>
            </w:r>
          </w:p>
        </w:tc>
        <w:tc>
          <w:tcPr>
            <w:tcW w:w="1276" w:type="dxa"/>
            <w:vAlign w:val="center"/>
          </w:tcPr>
          <w:p w14:paraId="6D87E36D" w14:textId="30247532" w:rsidR="001877AF" w:rsidRPr="00BE78C2" w:rsidRDefault="001877AF" w:rsidP="00E5363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76" w:type="dxa"/>
            <w:vAlign w:val="center"/>
          </w:tcPr>
          <w:p w14:paraId="112CBAE5" w14:textId="390D5B36" w:rsidR="001877AF" w:rsidRPr="00E30FC7" w:rsidRDefault="001877AF" w:rsidP="009F30A8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E30FC7">
              <w:rPr>
                <w:rFonts w:ascii="Arial" w:hAnsi="Arial" w:cs="Arial"/>
                <w:sz w:val="18"/>
                <w:szCs w:val="18"/>
              </w:rPr>
              <w:t>45,</w:t>
            </w:r>
            <w:r w:rsidR="009F30A8" w:rsidRPr="00E30FC7">
              <w:rPr>
                <w:rFonts w:ascii="Arial" w:hAnsi="Arial" w:cs="Arial"/>
                <w:sz w:val="18"/>
                <w:szCs w:val="18"/>
              </w:rPr>
              <w:t>5</w:t>
            </w:r>
            <w:r w:rsidRPr="00E30FC7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1877AF" w:rsidRPr="008920B0" w14:paraId="2053DF42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3F6AD6F6" w14:textId="3CFD1643" w:rsidR="001877AF" w:rsidRPr="00DF6351" w:rsidRDefault="001877AF" w:rsidP="002A37A2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174DF">
              <w:rPr>
                <w:rFonts w:ascii="Arial" w:hAnsi="Arial" w:cs="Arial"/>
                <w:sz w:val="18"/>
                <w:szCs w:val="18"/>
              </w:rPr>
              <w:t>Konzernüberschuss [M</w:t>
            </w:r>
            <w:r w:rsidRPr="007174DF">
              <w:rPr>
                <w:rFonts w:ascii="Arial" w:hAnsi="Arial" w:cs="Arial"/>
                <w:sz w:val="18"/>
                <w:szCs w:val="18"/>
                <w:lang w:val="it-IT"/>
              </w:rPr>
              <w:t>io. €]</w:t>
            </w:r>
          </w:p>
        </w:tc>
        <w:tc>
          <w:tcPr>
            <w:tcW w:w="1276" w:type="dxa"/>
            <w:vAlign w:val="center"/>
          </w:tcPr>
          <w:p w14:paraId="00C5834C" w14:textId="487CDAB2" w:rsidR="001877AF" w:rsidRPr="00BE78C2" w:rsidRDefault="001877AF" w:rsidP="00BE78C2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31,6</w:t>
            </w:r>
          </w:p>
        </w:tc>
        <w:tc>
          <w:tcPr>
            <w:tcW w:w="1276" w:type="dxa"/>
            <w:vAlign w:val="center"/>
          </w:tcPr>
          <w:p w14:paraId="344AAB9D" w14:textId="78DECD54" w:rsidR="001877AF" w:rsidRPr="00BE78C2" w:rsidRDefault="001877AF" w:rsidP="00072185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22,6</w:t>
            </w:r>
          </w:p>
        </w:tc>
        <w:tc>
          <w:tcPr>
            <w:tcW w:w="1276" w:type="dxa"/>
            <w:vAlign w:val="center"/>
          </w:tcPr>
          <w:p w14:paraId="2FA677EF" w14:textId="16A7A2A8" w:rsidR="001877AF" w:rsidRPr="00E30FC7" w:rsidRDefault="001877AF" w:rsidP="009F30A8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E30FC7">
              <w:rPr>
                <w:rFonts w:ascii="Arial" w:hAnsi="Arial" w:cs="Arial"/>
                <w:sz w:val="18"/>
                <w:szCs w:val="18"/>
              </w:rPr>
              <w:t>39,</w:t>
            </w:r>
            <w:r w:rsidR="009F30A8" w:rsidRPr="00E30FC7">
              <w:rPr>
                <w:rFonts w:ascii="Arial" w:hAnsi="Arial" w:cs="Arial"/>
                <w:sz w:val="18"/>
                <w:szCs w:val="18"/>
              </w:rPr>
              <w:t>7</w:t>
            </w:r>
            <w:r w:rsidRPr="00E30FC7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C06DC9" w:rsidRPr="00DF6351" w14:paraId="24BB397C" w14:textId="77777777" w:rsidTr="00501902">
        <w:trPr>
          <w:trHeight w:val="284"/>
        </w:trPr>
        <w:tc>
          <w:tcPr>
            <w:tcW w:w="4077" w:type="dxa"/>
            <w:vAlign w:val="center"/>
          </w:tcPr>
          <w:p w14:paraId="12942CE2" w14:textId="6AFD8783" w:rsidR="00C06DC9" w:rsidRPr="00DF6351" w:rsidRDefault="00D22DFA" w:rsidP="00C06DC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Investitionen</w:t>
            </w:r>
            <w:r w:rsidR="001877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6DC9" w:rsidRPr="00DF6351">
              <w:rPr>
                <w:rFonts w:ascii="Arial" w:hAnsi="Arial" w:cs="Arial"/>
                <w:sz w:val="18"/>
                <w:szCs w:val="18"/>
              </w:rPr>
              <w:t>[in Mio</w:t>
            </w:r>
            <w:r w:rsidR="00C06DC9">
              <w:rPr>
                <w:rFonts w:ascii="Arial" w:hAnsi="Arial" w:cs="Arial"/>
                <w:sz w:val="18"/>
                <w:szCs w:val="18"/>
              </w:rPr>
              <w:t>.</w:t>
            </w:r>
            <w:r w:rsidR="00C06DC9"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14:paraId="598AA301" w14:textId="17E7B1FA" w:rsidR="00C06DC9" w:rsidRPr="00BE78C2" w:rsidRDefault="00C06DC9" w:rsidP="00501902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35,1</w:t>
            </w:r>
          </w:p>
        </w:tc>
        <w:tc>
          <w:tcPr>
            <w:tcW w:w="1276" w:type="dxa"/>
            <w:vAlign w:val="center"/>
          </w:tcPr>
          <w:p w14:paraId="369C5373" w14:textId="2EA39139" w:rsidR="00C06DC9" w:rsidRPr="00BE78C2" w:rsidRDefault="00C06DC9" w:rsidP="00501902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276" w:type="dxa"/>
            <w:vAlign w:val="center"/>
          </w:tcPr>
          <w:p w14:paraId="263A46CF" w14:textId="54070389" w:rsidR="00C06DC9" w:rsidRPr="00BE78C2" w:rsidRDefault="00C06DC9" w:rsidP="00501902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37,6 %</w:t>
            </w:r>
          </w:p>
        </w:tc>
      </w:tr>
      <w:tr w:rsidR="00BE78C2" w:rsidRPr="00DF6351" w14:paraId="5E7B77DF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6ADF2068" w14:textId="3C4B96A2" w:rsidR="00BE78C2" w:rsidRPr="00C06DC9" w:rsidRDefault="00C06DC9" w:rsidP="00C06DC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06DC9">
              <w:rPr>
                <w:rFonts w:ascii="Arial" w:hAnsi="Arial" w:cs="Arial"/>
                <w:sz w:val="18"/>
                <w:szCs w:val="18"/>
              </w:rPr>
              <w:t xml:space="preserve">Eigenkapitalquote </w:t>
            </w:r>
            <w:r w:rsidR="00BE78C2" w:rsidRPr="00C06DC9">
              <w:rPr>
                <w:rFonts w:ascii="Arial" w:hAnsi="Arial" w:cs="Arial"/>
                <w:sz w:val="18"/>
                <w:szCs w:val="18"/>
              </w:rPr>
              <w:t>[in %]</w:t>
            </w:r>
          </w:p>
        </w:tc>
        <w:tc>
          <w:tcPr>
            <w:tcW w:w="1276" w:type="dxa"/>
            <w:vAlign w:val="center"/>
          </w:tcPr>
          <w:p w14:paraId="0CEB37A3" w14:textId="3ADEA369" w:rsidR="00BE78C2" w:rsidRPr="00BE78C2" w:rsidRDefault="00C06DC9" w:rsidP="00BE78C2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34,2 %</w:t>
            </w:r>
          </w:p>
        </w:tc>
        <w:tc>
          <w:tcPr>
            <w:tcW w:w="1276" w:type="dxa"/>
            <w:vAlign w:val="center"/>
          </w:tcPr>
          <w:p w14:paraId="36C21373" w14:textId="0A2FD5D4" w:rsidR="00BE78C2" w:rsidRPr="00BE78C2" w:rsidRDefault="00C06DC9" w:rsidP="00072185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33,9 %</w:t>
            </w:r>
          </w:p>
        </w:tc>
        <w:tc>
          <w:tcPr>
            <w:tcW w:w="1276" w:type="dxa"/>
            <w:vAlign w:val="center"/>
          </w:tcPr>
          <w:p w14:paraId="4E70F533" w14:textId="682AE1F5" w:rsidR="00BE78C2" w:rsidRPr="00BE78C2" w:rsidRDefault="00C06DC9" w:rsidP="00CE1CD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E78C2" w:rsidRPr="00DF6351" w14:paraId="58F1FDC7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3D19C8FB" w14:textId="70567E01" w:rsidR="00BE78C2" w:rsidRPr="00DF6351" w:rsidRDefault="00C06DC9" w:rsidP="00C06DC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Ergebnis je Aktie</w:t>
            </w:r>
            <w:r w:rsidR="00BE78C2" w:rsidRPr="00DF6351">
              <w:rPr>
                <w:rFonts w:ascii="Arial" w:hAnsi="Arial" w:cs="Arial"/>
                <w:sz w:val="18"/>
                <w:szCs w:val="18"/>
              </w:rPr>
              <w:t xml:space="preserve"> [in €]</w:t>
            </w:r>
          </w:p>
        </w:tc>
        <w:tc>
          <w:tcPr>
            <w:tcW w:w="1276" w:type="dxa"/>
            <w:vAlign w:val="center"/>
          </w:tcPr>
          <w:p w14:paraId="214015CF" w14:textId="412CCF7E" w:rsidR="00BE78C2" w:rsidRPr="00BE78C2" w:rsidRDefault="00C06DC9" w:rsidP="00072185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0,96</w:t>
            </w:r>
          </w:p>
        </w:tc>
        <w:tc>
          <w:tcPr>
            <w:tcW w:w="1276" w:type="dxa"/>
            <w:vAlign w:val="center"/>
          </w:tcPr>
          <w:p w14:paraId="32916AC2" w14:textId="6F20FA99" w:rsidR="00BE78C2" w:rsidRPr="00BE78C2" w:rsidRDefault="00C06DC9" w:rsidP="00E5363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0,69</w:t>
            </w:r>
          </w:p>
        </w:tc>
        <w:tc>
          <w:tcPr>
            <w:tcW w:w="1276" w:type="dxa"/>
            <w:vAlign w:val="center"/>
          </w:tcPr>
          <w:p w14:paraId="0FB97609" w14:textId="6AFEFDCC" w:rsidR="00BE78C2" w:rsidRPr="00BE78C2" w:rsidRDefault="00C06DC9" w:rsidP="0089546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39,1 %</w:t>
            </w:r>
          </w:p>
        </w:tc>
      </w:tr>
      <w:tr w:rsidR="00BE78C2" w:rsidRPr="00DF6351" w14:paraId="3FFEEE11" w14:textId="77777777" w:rsidTr="00CE1CD9">
        <w:trPr>
          <w:trHeight w:val="284"/>
        </w:trPr>
        <w:tc>
          <w:tcPr>
            <w:tcW w:w="4077" w:type="dxa"/>
            <w:vAlign w:val="center"/>
          </w:tcPr>
          <w:p w14:paraId="56A19235" w14:textId="324180F6" w:rsidR="00BE78C2" w:rsidRPr="00DF6351" w:rsidRDefault="00BE78C2" w:rsidP="00C06DC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Mitarbeiter per 31.</w:t>
            </w:r>
            <w:r w:rsidR="00C06DC9">
              <w:rPr>
                <w:rFonts w:ascii="Arial" w:hAnsi="Arial" w:cs="Arial"/>
                <w:sz w:val="18"/>
                <w:szCs w:val="18"/>
              </w:rPr>
              <w:t>3</w:t>
            </w:r>
            <w:r w:rsidRPr="00DF6351">
              <w:rPr>
                <w:rFonts w:ascii="Arial" w:hAnsi="Arial" w:cs="Arial"/>
                <w:sz w:val="18"/>
                <w:szCs w:val="18"/>
              </w:rPr>
              <w:t>.</w:t>
            </w:r>
            <w:r w:rsidR="00C06DC9">
              <w:rPr>
                <w:rFonts w:ascii="Arial" w:hAnsi="Arial" w:cs="Arial"/>
                <w:sz w:val="18"/>
                <w:szCs w:val="18"/>
              </w:rPr>
              <w:t xml:space="preserve"> [Anzahl]</w:t>
            </w:r>
          </w:p>
        </w:tc>
        <w:tc>
          <w:tcPr>
            <w:tcW w:w="1276" w:type="dxa"/>
            <w:vAlign w:val="center"/>
          </w:tcPr>
          <w:p w14:paraId="0F72F012" w14:textId="4FB2CFD6" w:rsidR="00BE78C2" w:rsidRPr="00BE78C2" w:rsidRDefault="001877AF" w:rsidP="00072185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64.071</w:t>
            </w:r>
          </w:p>
        </w:tc>
        <w:tc>
          <w:tcPr>
            <w:tcW w:w="1276" w:type="dxa"/>
            <w:vAlign w:val="center"/>
          </w:tcPr>
          <w:p w14:paraId="47709CD5" w14:textId="19DC2FD1" w:rsidR="00BE78C2" w:rsidRPr="00BE78C2" w:rsidRDefault="001877AF" w:rsidP="00E53639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59.884</w:t>
            </w:r>
          </w:p>
        </w:tc>
        <w:tc>
          <w:tcPr>
            <w:tcW w:w="1276" w:type="dxa"/>
            <w:vAlign w:val="center"/>
          </w:tcPr>
          <w:p w14:paraId="463D7D5B" w14:textId="2F232E0F" w:rsidR="00BE78C2" w:rsidRPr="00BE78C2" w:rsidRDefault="001877AF" w:rsidP="0089546A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7,0 %</w:t>
            </w:r>
          </w:p>
        </w:tc>
      </w:tr>
    </w:tbl>
    <w:p w14:paraId="3DBDC5D6" w14:textId="77777777" w:rsidR="0089546A" w:rsidRDefault="0089546A" w:rsidP="0089546A">
      <w:pPr>
        <w:autoSpaceDE w:val="0"/>
        <w:autoSpaceDN w:val="0"/>
        <w:adjustRightInd w:val="0"/>
        <w:ind w:left="360" w:right="1854"/>
        <w:rPr>
          <w:rFonts w:ascii="Arial" w:hAnsi="Arial" w:cs="Arial"/>
          <w:i/>
          <w:sz w:val="16"/>
          <w:szCs w:val="16"/>
        </w:rPr>
      </w:pPr>
    </w:p>
    <w:p w14:paraId="2AB3FE3A" w14:textId="3817D1F6" w:rsidR="0089546A" w:rsidRPr="001877AF" w:rsidRDefault="001877AF" w:rsidP="001877AF">
      <w:pPr>
        <w:autoSpaceDE w:val="0"/>
        <w:autoSpaceDN w:val="0"/>
        <w:adjustRightInd w:val="0"/>
        <w:ind w:right="17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="001904D1" w:rsidRPr="001877AF">
        <w:rPr>
          <w:rFonts w:ascii="Arial" w:hAnsi="Arial" w:cs="Arial"/>
          <w:i/>
          <w:sz w:val="16"/>
          <w:szCs w:val="16"/>
        </w:rPr>
        <w:t xml:space="preserve">Ergebnis bereinigt um die Effekte aus der Neubewertung im Rahmen der Kaufpreisverteilung wesentlicher </w:t>
      </w:r>
      <w:r w:rsidR="0089546A" w:rsidRPr="001877AF">
        <w:rPr>
          <w:rFonts w:ascii="Arial" w:hAnsi="Arial" w:cs="Arial"/>
          <w:i/>
          <w:sz w:val="16"/>
          <w:szCs w:val="16"/>
        </w:rPr>
        <w:t>A</w:t>
      </w:r>
      <w:r w:rsidR="001904D1" w:rsidRPr="001877AF">
        <w:rPr>
          <w:rFonts w:ascii="Arial" w:hAnsi="Arial" w:cs="Arial"/>
          <w:i/>
          <w:sz w:val="16"/>
          <w:szCs w:val="16"/>
        </w:rPr>
        <w:t>kquisitionen, Restrukturierungen, Wertminderungen langfristiger Vermögenswerte, Gewinne aus Unter</w:t>
      </w:r>
      <w:r w:rsidR="0089546A" w:rsidRPr="001877AF">
        <w:rPr>
          <w:rFonts w:ascii="Arial" w:hAnsi="Arial" w:cs="Arial"/>
          <w:i/>
          <w:sz w:val="16"/>
          <w:szCs w:val="16"/>
        </w:rPr>
        <w:t>-</w:t>
      </w:r>
      <w:proofErr w:type="spellStart"/>
      <w:r w:rsidR="001904D1" w:rsidRPr="001877AF">
        <w:rPr>
          <w:rFonts w:ascii="Arial" w:hAnsi="Arial" w:cs="Arial"/>
          <w:i/>
          <w:sz w:val="16"/>
          <w:szCs w:val="16"/>
        </w:rPr>
        <w:t>nehmensverkäufen</w:t>
      </w:r>
      <w:proofErr w:type="spellEnd"/>
      <w:r w:rsidR="001904D1" w:rsidRPr="001877AF">
        <w:rPr>
          <w:rFonts w:ascii="Arial" w:hAnsi="Arial" w:cs="Arial"/>
          <w:i/>
          <w:sz w:val="16"/>
          <w:szCs w:val="16"/>
        </w:rPr>
        <w:t xml:space="preserve"> und Ergebnisse aus Unternehmenszusammenschlüssen inklusive zugehöriger Derivate</w:t>
      </w:r>
      <w:r w:rsidR="009F30A8">
        <w:rPr>
          <w:rFonts w:ascii="Arial" w:hAnsi="Arial" w:cs="Arial"/>
          <w:i/>
          <w:sz w:val="16"/>
          <w:szCs w:val="16"/>
        </w:rPr>
        <w:t>.</w:t>
      </w:r>
    </w:p>
    <w:p w14:paraId="31FFCC22" w14:textId="295CD27B" w:rsidR="005456EE" w:rsidRPr="00DE6EC3" w:rsidRDefault="008176B2" w:rsidP="00DE6EC3">
      <w:pPr>
        <w:pStyle w:val="Listenabsatz"/>
        <w:autoSpaceDE w:val="0"/>
        <w:autoSpaceDN w:val="0"/>
        <w:adjustRightInd w:val="0"/>
        <w:ind w:left="0" w:right="1569"/>
        <w:rPr>
          <w:rFonts w:ascii="Arial" w:hAnsi="Arial" w:cs="Arial"/>
          <w:i/>
          <w:sz w:val="22"/>
          <w:szCs w:val="22"/>
        </w:rPr>
      </w:pPr>
      <w:r w:rsidRPr="0089546A">
        <w:rPr>
          <w:rFonts w:ascii="Arial" w:hAnsi="Arial" w:cs="Arial"/>
          <w:i/>
          <w:sz w:val="16"/>
          <w:szCs w:val="16"/>
        </w:rPr>
        <w:br/>
      </w:r>
      <w:r w:rsidR="005456EE" w:rsidRPr="00DF6351">
        <w:rPr>
          <w:sz w:val="36"/>
          <w:szCs w:val="36"/>
        </w:rPr>
        <w:sym w:font="Wingdings" w:char="F046"/>
      </w:r>
      <w:r w:rsidR="005456EE" w:rsidRPr="0089546A">
        <w:rPr>
          <w:rFonts w:ascii="Arial" w:hAnsi="Arial" w:cs="Arial"/>
          <w:i/>
          <w:sz w:val="20"/>
          <w:szCs w:val="20"/>
        </w:rPr>
        <w:t xml:space="preserve"> </w:t>
      </w:r>
      <w:r w:rsidR="005456EE" w:rsidRPr="00DE6EC3">
        <w:rPr>
          <w:rFonts w:ascii="Arial" w:hAnsi="Arial" w:cs="Arial"/>
          <w:i/>
          <w:sz w:val="22"/>
          <w:szCs w:val="22"/>
        </w:rPr>
        <w:t>Illustrationsmate</w:t>
      </w:r>
      <w:r w:rsidR="005456EE" w:rsidRPr="00B84E7F">
        <w:rPr>
          <w:rFonts w:ascii="Arial" w:hAnsi="Arial" w:cs="Arial"/>
          <w:i/>
          <w:sz w:val="22"/>
          <w:szCs w:val="22"/>
        </w:rPr>
        <w:t xml:space="preserve">rial finden Sie unter </w:t>
      </w:r>
      <w:hyperlink r:id="rId9" w:history="1">
        <w:r w:rsidR="00B84E7F" w:rsidRPr="00B84E7F">
          <w:rPr>
            <w:rStyle w:val="Hyperlink"/>
            <w:rFonts w:ascii="Arial" w:hAnsi="Arial" w:cs="Arial"/>
            <w:i/>
            <w:sz w:val="22"/>
            <w:szCs w:val="22"/>
          </w:rPr>
          <w:t>media.</w:t>
        </w:r>
        <w:r w:rsidR="00274295" w:rsidRPr="00B84E7F">
          <w:rPr>
            <w:rStyle w:val="Hyperlink"/>
            <w:rFonts w:ascii="Arial" w:hAnsi="Arial" w:cs="Arial"/>
            <w:i/>
            <w:sz w:val="22"/>
            <w:szCs w:val="22"/>
          </w:rPr>
          <w:t>leoni.com</w:t>
        </w:r>
      </w:hyperlink>
      <w:r w:rsidR="005456EE" w:rsidRPr="00DE6EC3">
        <w:rPr>
          <w:rFonts w:ascii="Arial" w:hAnsi="Arial" w:cs="Arial"/>
          <w:i/>
          <w:sz w:val="22"/>
          <w:szCs w:val="22"/>
        </w:rPr>
        <w:t xml:space="preserve"> </w:t>
      </w:r>
    </w:p>
    <w:p w14:paraId="03AD2DCB" w14:textId="47F3BF91" w:rsidR="001877AF" w:rsidRPr="001547FF" w:rsidRDefault="005456EE" w:rsidP="00DE6EC3">
      <w:pPr>
        <w:ind w:right="1569"/>
        <w:rPr>
          <w:rStyle w:val="Hyperlink"/>
          <w:rFonts w:ascii="Arial" w:hAnsi="Arial" w:cs="Arial"/>
          <w:i/>
          <w:sz w:val="22"/>
          <w:szCs w:val="22"/>
        </w:rPr>
      </w:pPr>
      <w:r w:rsidRPr="00DF6351">
        <w:rPr>
          <w:rFonts w:ascii="Arial" w:hAnsi="Arial" w:cs="Arial"/>
          <w:sz w:val="36"/>
          <w:szCs w:val="36"/>
        </w:rPr>
        <w:sym w:font="Wingdings" w:char="F046"/>
      </w:r>
      <w:r w:rsidRPr="00DF6351">
        <w:rPr>
          <w:rFonts w:ascii="Arial" w:hAnsi="Arial" w:cs="Arial"/>
          <w:i/>
          <w:sz w:val="20"/>
          <w:szCs w:val="20"/>
        </w:rPr>
        <w:t xml:space="preserve"> </w:t>
      </w:r>
      <w:r w:rsidRPr="00DE6EC3">
        <w:rPr>
          <w:rFonts w:ascii="Arial" w:hAnsi="Arial" w:cs="Arial"/>
          <w:i/>
          <w:sz w:val="22"/>
          <w:szCs w:val="22"/>
        </w:rPr>
        <w:t xml:space="preserve">Den vollständigen </w:t>
      </w:r>
      <w:r w:rsidR="00CB5E9A" w:rsidRPr="001547FF">
        <w:rPr>
          <w:rFonts w:ascii="Arial" w:hAnsi="Arial" w:cs="Arial"/>
          <w:i/>
          <w:sz w:val="22"/>
          <w:szCs w:val="22"/>
        </w:rPr>
        <w:t>Quartals</w:t>
      </w:r>
      <w:r w:rsidRPr="001547FF">
        <w:rPr>
          <w:rFonts w:ascii="Arial" w:hAnsi="Arial" w:cs="Arial"/>
          <w:i/>
          <w:sz w:val="22"/>
          <w:szCs w:val="22"/>
        </w:rPr>
        <w:t xml:space="preserve">bericht können Sie herunterladen </w:t>
      </w:r>
      <w:r w:rsidR="001547FF" w:rsidRPr="001547FF">
        <w:rPr>
          <w:rFonts w:ascii="Arial" w:hAnsi="Arial" w:cs="Arial"/>
          <w:i/>
          <w:sz w:val="22"/>
          <w:szCs w:val="22"/>
        </w:rPr>
        <w:t xml:space="preserve">unter </w:t>
      </w:r>
      <w:hyperlink r:id="rId10" w:history="1">
        <w:r w:rsidR="001547FF" w:rsidRPr="001547FF">
          <w:rPr>
            <w:rStyle w:val="Hyperlink"/>
            <w:rFonts w:ascii="Arial" w:hAnsi="Arial" w:cs="Arial"/>
            <w:i/>
            <w:sz w:val="22"/>
            <w:szCs w:val="22"/>
          </w:rPr>
          <w:t>www.leoni.com/?q1-2014&amp;L=0</w:t>
        </w:r>
      </w:hyperlink>
    </w:p>
    <w:p w14:paraId="70FF0D46" w14:textId="49412E8A" w:rsidR="001877AF" w:rsidRPr="00344207" w:rsidRDefault="001877AF" w:rsidP="00344207">
      <w:pPr>
        <w:tabs>
          <w:tab w:val="left" w:pos="8505"/>
        </w:tabs>
        <w:spacing w:after="120"/>
        <w:ind w:right="1569"/>
        <w:rPr>
          <w:rFonts w:ascii="Arial" w:hAnsi="Arial" w:cs="Arial"/>
          <w:i/>
          <w:sz w:val="22"/>
          <w:szCs w:val="22"/>
        </w:rPr>
      </w:pPr>
      <w:r w:rsidRPr="009A7FB8">
        <w:rPr>
          <w:rFonts w:ascii="Arial" w:hAnsi="Arial" w:cs="Arial"/>
          <w:sz w:val="36"/>
          <w:szCs w:val="36"/>
        </w:rPr>
        <w:sym w:font="Wingdings" w:char="F046"/>
      </w:r>
      <w:r>
        <w:rPr>
          <w:rFonts w:ascii="Verdana" w:hAnsi="Verdana"/>
          <w:i/>
          <w:sz w:val="20"/>
          <w:szCs w:val="20"/>
        </w:rPr>
        <w:t xml:space="preserve"> </w:t>
      </w:r>
      <w:r w:rsidRPr="00DE6EC3">
        <w:rPr>
          <w:rFonts w:ascii="Arial" w:hAnsi="Arial" w:cs="Arial"/>
          <w:i/>
          <w:sz w:val="22"/>
          <w:szCs w:val="22"/>
        </w:rPr>
        <w:t>Hinweis für Journalisten: Heute findet um 11.30 Uhr eine Telefonkonferenz für Medienvertreter statt. Einwahldaten erhalten Sie unter Tel.: +49 (0)911/2023-467</w:t>
      </w:r>
    </w:p>
    <w:p w14:paraId="65D38F31" w14:textId="3E9D0BBB" w:rsidR="001B621B" w:rsidRPr="006D36F9" w:rsidRDefault="006F4393" w:rsidP="006D36F9">
      <w:pPr>
        <w:pStyle w:val="MMKurzprofilberschrift"/>
      </w:pPr>
      <w:r w:rsidRPr="006D36F9">
        <w:t>Über die Leoni-Gruppe</w:t>
      </w:r>
    </w:p>
    <w:p w14:paraId="00293CB2" w14:textId="3189A865"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</w:t>
      </w:r>
      <w:r w:rsidRPr="00D22DFA">
        <w:t xml:space="preserve">deutschen MDAX börsennotierte Unternehmensgruppe beschäftigt </w:t>
      </w:r>
      <w:r w:rsidR="00540F3D" w:rsidRPr="00D22DFA">
        <w:t>rund 6</w:t>
      </w:r>
      <w:r w:rsidR="00366D0B" w:rsidRPr="00D22DFA">
        <w:t>4</w:t>
      </w:r>
      <w:r w:rsidR="008E7760" w:rsidRPr="00D22DFA">
        <w:t>.000 Mitarbeiter in 3</w:t>
      </w:r>
      <w:r w:rsidR="00540F3D" w:rsidRPr="00D22DFA">
        <w:t>3</w:t>
      </w:r>
      <w:r w:rsidR="008E7760" w:rsidRPr="00D22DFA">
        <w:t xml:space="preserve"> Ländern</w:t>
      </w:r>
      <w:r w:rsidR="008E7760" w:rsidRPr="006D36F9">
        <w:t xml:space="preserve"> und erzielte 20</w:t>
      </w:r>
      <w:r w:rsidR="00977A5F" w:rsidRPr="006D36F9">
        <w:t>1</w:t>
      </w:r>
      <w:r w:rsidR="00540F3D">
        <w:t>3</w:t>
      </w:r>
      <w:r w:rsidR="008E7760" w:rsidRPr="006D36F9">
        <w:t xml:space="preserve"> einen Konzernumsatz von </w:t>
      </w:r>
      <w:r w:rsidR="005E0BBB">
        <w:t>3</w:t>
      </w:r>
      <w:r w:rsidR="008E7760" w:rsidRPr="006D36F9">
        <w:t>,</w:t>
      </w:r>
      <w:r w:rsidR="00540F3D">
        <w:t>92</w:t>
      </w:r>
      <w:r w:rsidR="008E7760" w:rsidRPr="006D36F9">
        <w:t xml:space="preserve"> Mrd. Euro</w:t>
      </w:r>
      <w:r w:rsidRPr="006D36F9">
        <w:t>.</w:t>
      </w:r>
    </w:p>
    <w:p w14:paraId="490A2FBC" w14:textId="77777777" w:rsidR="00E569A0" w:rsidRPr="009936F9" w:rsidRDefault="00E569A0" w:rsidP="00E569A0">
      <w:pPr>
        <w:pStyle w:val="MMKurzprofil"/>
        <w:rPr>
          <w:sz w:val="8"/>
          <w:szCs w:val="8"/>
        </w:rPr>
      </w:pPr>
    </w:p>
    <w:p w14:paraId="26D62C8C" w14:textId="77777777" w:rsidR="00E569A0" w:rsidRPr="00320044" w:rsidRDefault="00DC2CC0" w:rsidP="005E0BBB">
      <w:pPr>
        <w:pStyle w:val="MMKurzprofil"/>
      </w:pPr>
      <w:r>
        <w:rPr>
          <w:noProof/>
        </w:rPr>
        <w:drawing>
          <wp:inline distT="0" distB="0" distL="0" distR="0" wp14:anchorId="61F001C4" wp14:editId="4F8097C4">
            <wp:extent cx="180975" cy="180975"/>
            <wp:effectExtent l="0" t="0" r="9525" b="9525"/>
            <wp:docPr id="4" name="Bild 1" descr="facebook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134B1E29" wp14:editId="43D0CA36">
            <wp:extent cx="180975" cy="180975"/>
            <wp:effectExtent l="0" t="0" r="9525" b="9525"/>
            <wp:docPr id="2" name="Bild 2" descr="xin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7B248" w14:textId="77777777" w:rsidR="008F5F48" w:rsidRPr="006D36F9" w:rsidRDefault="00441963" w:rsidP="006D36F9">
      <w:pPr>
        <w:pStyle w:val="MMKurzprofilberschrift"/>
      </w:pPr>
      <w:r w:rsidRPr="006D36F9">
        <w:lastRenderedPageBreak/>
        <w:t xml:space="preserve">Ansprechpartner für </w:t>
      </w:r>
      <w:r w:rsidR="0061798D" w:rsidRPr="006D36F9">
        <w:t>Journalisten</w:t>
      </w:r>
    </w:p>
    <w:p w14:paraId="67FF2934" w14:textId="77777777" w:rsidR="008F5F48" w:rsidRPr="006D36F9" w:rsidRDefault="008F5F48" w:rsidP="006D36F9">
      <w:pPr>
        <w:pStyle w:val="MMKurzprofil"/>
      </w:pPr>
      <w:r w:rsidRPr="006D36F9">
        <w:t>Sven Schmidt</w:t>
      </w:r>
    </w:p>
    <w:p w14:paraId="42DCA0CF" w14:textId="77777777"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14:paraId="2512003D" w14:textId="77777777" w:rsidR="009613DC" w:rsidRPr="006D36F9" w:rsidRDefault="009613DC" w:rsidP="006D36F9">
      <w:pPr>
        <w:pStyle w:val="MMKurzprofil"/>
      </w:pPr>
      <w:r>
        <w:t>LEONI AG</w:t>
      </w:r>
    </w:p>
    <w:p w14:paraId="3E9FF23C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14:paraId="191CCBFB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14:paraId="00CA0A0B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5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9422C" w14:textId="77777777" w:rsidR="004803C6" w:rsidRPr="00A44C71" w:rsidRDefault="004803C6">
      <w:pPr>
        <w:rPr>
          <w:sz w:val="16"/>
        </w:rPr>
      </w:pPr>
      <w:r>
        <w:separator/>
      </w:r>
    </w:p>
  </w:endnote>
  <w:endnote w:type="continuationSeparator" w:id="0">
    <w:p w14:paraId="0EFBD60D" w14:textId="77777777" w:rsidR="004803C6" w:rsidRPr="00A44C71" w:rsidRDefault="004803C6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66C97" w14:textId="77777777" w:rsidR="004803C6" w:rsidRPr="009A05EE" w:rsidRDefault="004803C6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E07171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E07171">
      <w:rPr>
        <w:rStyle w:val="Seitenzahl"/>
        <w:rFonts w:ascii="Arial" w:hAnsi="Arial" w:cs="Arial"/>
        <w:i/>
        <w:noProof/>
        <w:sz w:val="16"/>
        <w:szCs w:val="16"/>
      </w:rPr>
      <w:t>4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14:paraId="48B0B4AC" w14:textId="77777777" w:rsidR="004803C6" w:rsidRPr="009F6805" w:rsidRDefault="004803C6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FBB85" w14:textId="77777777" w:rsidR="004803C6" w:rsidRPr="00406709" w:rsidRDefault="004803C6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14:paraId="3369AEB1" w14:textId="77777777" w:rsidR="004803C6" w:rsidRPr="00406709" w:rsidRDefault="004803C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  <w:t>Nürnberg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14:paraId="785F79D0" w14:textId="77777777" w:rsidR="004803C6" w:rsidRPr="00406709" w:rsidRDefault="004803C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14:paraId="01D125A4" w14:textId="77777777" w:rsidR="004803C6" w:rsidRPr="00406709" w:rsidRDefault="004803C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14:paraId="4F9DA878" w14:textId="77777777" w:rsidR="004803C6" w:rsidRPr="00406709" w:rsidRDefault="004803C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14:paraId="6E54DDA8" w14:textId="77777777" w:rsidR="004803C6" w:rsidRDefault="004803C6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A3FC0" w14:textId="77777777" w:rsidR="004803C6" w:rsidRPr="00A44C71" w:rsidRDefault="004803C6">
      <w:pPr>
        <w:rPr>
          <w:sz w:val="16"/>
        </w:rPr>
      </w:pPr>
      <w:r>
        <w:separator/>
      </w:r>
    </w:p>
  </w:footnote>
  <w:footnote w:type="continuationSeparator" w:id="0">
    <w:p w14:paraId="2361AB7F" w14:textId="77777777" w:rsidR="004803C6" w:rsidRPr="00A44C71" w:rsidRDefault="004803C6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6A3EA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19B4FB4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4E4D846E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49A733CF" wp14:editId="2E7B73AD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E5A36" w14:textId="77777777" w:rsidR="004803C6" w:rsidRDefault="004803C6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033792D3" w14:textId="77777777" w:rsidR="004803C6" w:rsidRPr="006D36F9" w:rsidRDefault="004803C6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MEDIENMITTEILUNG</w:t>
    </w:r>
  </w:p>
  <w:p w14:paraId="06086DE4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C6C7104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7385EDE" w14:textId="77777777" w:rsidR="004803C6" w:rsidRPr="00F17738" w:rsidRDefault="004803C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89C2C9E" w14:textId="77777777" w:rsidR="004803C6" w:rsidRPr="006F0BE8" w:rsidRDefault="004803C6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63D96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6405679A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3E645D0E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2B52C152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20CF3B76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511187C4" wp14:editId="289254D4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8DB15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3F699DD4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51D8A8C1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7FCECCAD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3B8EFD83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  <w:p w14:paraId="77A05D62" w14:textId="77777777" w:rsidR="004803C6" w:rsidRPr="00F17738" w:rsidRDefault="004803C6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840"/>
    <w:multiLevelType w:val="hybridMultilevel"/>
    <w:tmpl w:val="E5DA8298"/>
    <w:lvl w:ilvl="0" w:tplc="0F4C57F0">
      <w:start w:val="5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B2508"/>
    <w:multiLevelType w:val="hybridMultilevel"/>
    <w:tmpl w:val="701EC33A"/>
    <w:lvl w:ilvl="0" w:tplc="4B64A0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E27E7"/>
    <w:multiLevelType w:val="hybridMultilevel"/>
    <w:tmpl w:val="E6CCA1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3473"/>
    <w:multiLevelType w:val="hybridMultilevel"/>
    <w:tmpl w:val="83B89CE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196930"/>
    <w:multiLevelType w:val="hybridMultilevel"/>
    <w:tmpl w:val="0DE8BE7A"/>
    <w:lvl w:ilvl="0" w:tplc="0A6E76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6D33"/>
    <w:rsid w:val="000079E4"/>
    <w:rsid w:val="00013A64"/>
    <w:rsid w:val="0001653D"/>
    <w:rsid w:val="0002408F"/>
    <w:rsid w:val="000453F9"/>
    <w:rsid w:val="000671BD"/>
    <w:rsid w:val="00072185"/>
    <w:rsid w:val="00077B36"/>
    <w:rsid w:val="00077D0C"/>
    <w:rsid w:val="00091053"/>
    <w:rsid w:val="00091657"/>
    <w:rsid w:val="0009633F"/>
    <w:rsid w:val="000A0089"/>
    <w:rsid w:val="000A0822"/>
    <w:rsid w:val="000A32BC"/>
    <w:rsid w:val="000A7B89"/>
    <w:rsid w:val="000B3BF8"/>
    <w:rsid w:val="000B3D4A"/>
    <w:rsid w:val="000B5865"/>
    <w:rsid w:val="000C02B1"/>
    <w:rsid w:val="000E5816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3DEA"/>
    <w:rsid w:val="00134E77"/>
    <w:rsid w:val="001454B6"/>
    <w:rsid w:val="00145E36"/>
    <w:rsid w:val="00152D54"/>
    <w:rsid w:val="001547FF"/>
    <w:rsid w:val="001557B0"/>
    <w:rsid w:val="00157707"/>
    <w:rsid w:val="00157C54"/>
    <w:rsid w:val="00172DBF"/>
    <w:rsid w:val="001734DC"/>
    <w:rsid w:val="00184530"/>
    <w:rsid w:val="0018564D"/>
    <w:rsid w:val="001877AF"/>
    <w:rsid w:val="001904D1"/>
    <w:rsid w:val="001917D1"/>
    <w:rsid w:val="001A26F1"/>
    <w:rsid w:val="001B621B"/>
    <w:rsid w:val="001C0CC3"/>
    <w:rsid w:val="001C7543"/>
    <w:rsid w:val="001D1868"/>
    <w:rsid w:val="001D2CDB"/>
    <w:rsid w:val="00207FC6"/>
    <w:rsid w:val="00211D05"/>
    <w:rsid w:val="002223B4"/>
    <w:rsid w:val="002317DC"/>
    <w:rsid w:val="00240866"/>
    <w:rsid w:val="00245C9E"/>
    <w:rsid w:val="00260A78"/>
    <w:rsid w:val="002630D8"/>
    <w:rsid w:val="00264325"/>
    <w:rsid w:val="00271757"/>
    <w:rsid w:val="00274295"/>
    <w:rsid w:val="00274BF6"/>
    <w:rsid w:val="002929B6"/>
    <w:rsid w:val="002956A9"/>
    <w:rsid w:val="0029603C"/>
    <w:rsid w:val="002A37A2"/>
    <w:rsid w:val="002A4D33"/>
    <w:rsid w:val="002A71D3"/>
    <w:rsid w:val="002B325C"/>
    <w:rsid w:val="002B68C4"/>
    <w:rsid w:val="002B7AC7"/>
    <w:rsid w:val="002B7BFA"/>
    <w:rsid w:val="002C118D"/>
    <w:rsid w:val="002C2359"/>
    <w:rsid w:val="002D3B75"/>
    <w:rsid w:val="00310D19"/>
    <w:rsid w:val="003118F1"/>
    <w:rsid w:val="00315FE3"/>
    <w:rsid w:val="00316E24"/>
    <w:rsid w:val="00320044"/>
    <w:rsid w:val="003237A6"/>
    <w:rsid w:val="00340E9C"/>
    <w:rsid w:val="00344207"/>
    <w:rsid w:val="00356E80"/>
    <w:rsid w:val="00361CF2"/>
    <w:rsid w:val="00362050"/>
    <w:rsid w:val="00364DCD"/>
    <w:rsid w:val="00365E12"/>
    <w:rsid w:val="00366D0B"/>
    <w:rsid w:val="00382198"/>
    <w:rsid w:val="00397AC4"/>
    <w:rsid w:val="003B48A6"/>
    <w:rsid w:val="003C5273"/>
    <w:rsid w:val="003C6AAE"/>
    <w:rsid w:val="003D216E"/>
    <w:rsid w:val="003D2799"/>
    <w:rsid w:val="003D4F5D"/>
    <w:rsid w:val="003E43B4"/>
    <w:rsid w:val="003E4B96"/>
    <w:rsid w:val="003E50A5"/>
    <w:rsid w:val="003F1AB5"/>
    <w:rsid w:val="003F74D0"/>
    <w:rsid w:val="00400EC1"/>
    <w:rsid w:val="00404468"/>
    <w:rsid w:val="00420BD0"/>
    <w:rsid w:val="00432245"/>
    <w:rsid w:val="00440EF7"/>
    <w:rsid w:val="00441012"/>
    <w:rsid w:val="00441963"/>
    <w:rsid w:val="0044413D"/>
    <w:rsid w:val="0045071B"/>
    <w:rsid w:val="004547BF"/>
    <w:rsid w:val="00473340"/>
    <w:rsid w:val="00473E7D"/>
    <w:rsid w:val="00476B0F"/>
    <w:rsid w:val="004803C6"/>
    <w:rsid w:val="00482296"/>
    <w:rsid w:val="004826F0"/>
    <w:rsid w:val="0049418D"/>
    <w:rsid w:val="004A1653"/>
    <w:rsid w:val="004A2754"/>
    <w:rsid w:val="004A457B"/>
    <w:rsid w:val="004B0623"/>
    <w:rsid w:val="004B3DB8"/>
    <w:rsid w:val="004B4584"/>
    <w:rsid w:val="004B4CC2"/>
    <w:rsid w:val="004D2FCB"/>
    <w:rsid w:val="004E29FC"/>
    <w:rsid w:val="004F038C"/>
    <w:rsid w:val="004F2266"/>
    <w:rsid w:val="004F499C"/>
    <w:rsid w:val="004F7079"/>
    <w:rsid w:val="00500004"/>
    <w:rsid w:val="00500B29"/>
    <w:rsid w:val="005072AE"/>
    <w:rsid w:val="00514260"/>
    <w:rsid w:val="0051560E"/>
    <w:rsid w:val="00516B60"/>
    <w:rsid w:val="00526F46"/>
    <w:rsid w:val="0052757E"/>
    <w:rsid w:val="005302CE"/>
    <w:rsid w:val="00533F65"/>
    <w:rsid w:val="00540F3D"/>
    <w:rsid w:val="00543C34"/>
    <w:rsid w:val="005448AB"/>
    <w:rsid w:val="005456EE"/>
    <w:rsid w:val="00547D6D"/>
    <w:rsid w:val="00553180"/>
    <w:rsid w:val="00560D63"/>
    <w:rsid w:val="00560E65"/>
    <w:rsid w:val="00575181"/>
    <w:rsid w:val="00585319"/>
    <w:rsid w:val="005B227D"/>
    <w:rsid w:val="005B4DC3"/>
    <w:rsid w:val="005B5619"/>
    <w:rsid w:val="005C5351"/>
    <w:rsid w:val="005D4C87"/>
    <w:rsid w:val="005D550E"/>
    <w:rsid w:val="005E0BBB"/>
    <w:rsid w:val="005F5E8B"/>
    <w:rsid w:val="00600E53"/>
    <w:rsid w:val="00614A49"/>
    <w:rsid w:val="0061798D"/>
    <w:rsid w:val="006307D7"/>
    <w:rsid w:val="00631FB1"/>
    <w:rsid w:val="006457CF"/>
    <w:rsid w:val="00651091"/>
    <w:rsid w:val="0065348D"/>
    <w:rsid w:val="00654989"/>
    <w:rsid w:val="006611CF"/>
    <w:rsid w:val="00661F0B"/>
    <w:rsid w:val="00664A24"/>
    <w:rsid w:val="00683EF3"/>
    <w:rsid w:val="00691AA8"/>
    <w:rsid w:val="006A76CA"/>
    <w:rsid w:val="006B37F1"/>
    <w:rsid w:val="006C5546"/>
    <w:rsid w:val="006C5B9E"/>
    <w:rsid w:val="006C6A78"/>
    <w:rsid w:val="006D0285"/>
    <w:rsid w:val="006D36F9"/>
    <w:rsid w:val="006E0029"/>
    <w:rsid w:val="006F0BE8"/>
    <w:rsid w:val="006F435B"/>
    <w:rsid w:val="006F4393"/>
    <w:rsid w:val="006F49FA"/>
    <w:rsid w:val="006F78FE"/>
    <w:rsid w:val="00712909"/>
    <w:rsid w:val="00720539"/>
    <w:rsid w:val="00721853"/>
    <w:rsid w:val="00726628"/>
    <w:rsid w:val="007420F8"/>
    <w:rsid w:val="00746469"/>
    <w:rsid w:val="0075567E"/>
    <w:rsid w:val="00765E37"/>
    <w:rsid w:val="00772C01"/>
    <w:rsid w:val="007747B6"/>
    <w:rsid w:val="00783025"/>
    <w:rsid w:val="00783A5E"/>
    <w:rsid w:val="007864F1"/>
    <w:rsid w:val="00793DE9"/>
    <w:rsid w:val="00794757"/>
    <w:rsid w:val="007950F6"/>
    <w:rsid w:val="007C3759"/>
    <w:rsid w:val="007D3F29"/>
    <w:rsid w:val="007D7D60"/>
    <w:rsid w:val="007F3212"/>
    <w:rsid w:val="007F514C"/>
    <w:rsid w:val="008045E1"/>
    <w:rsid w:val="008176B2"/>
    <w:rsid w:val="00821BA4"/>
    <w:rsid w:val="008350CF"/>
    <w:rsid w:val="0083522C"/>
    <w:rsid w:val="008446CD"/>
    <w:rsid w:val="00862325"/>
    <w:rsid w:val="008657FE"/>
    <w:rsid w:val="00883645"/>
    <w:rsid w:val="008901B2"/>
    <w:rsid w:val="008920B0"/>
    <w:rsid w:val="0089546A"/>
    <w:rsid w:val="008A424F"/>
    <w:rsid w:val="008B1883"/>
    <w:rsid w:val="008B5A55"/>
    <w:rsid w:val="008B617B"/>
    <w:rsid w:val="008B6D44"/>
    <w:rsid w:val="008C2253"/>
    <w:rsid w:val="008D26BA"/>
    <w:rsid w:val="008D5F1D"/>
    <w:rsid w:val="008D6717"/>
    <w:rsid w:val="008E7760"/>
    <w:rsid w:val="008F5F48"/>
    <w:rsid w:val="0090422E"/>
    <w:rsid w:val="00906898"/>
    <w:rsid w:val="00936962"/>
    <w:rsid w:val="00951375"/>
    <w:rsid w:val="009613DC"/>
    <w:rsid w:val="00961415"/>
    <w:rsid w:val="00962661"/>
    <w:rsid w:val="00964044"/>
    <w:rsid w:val="00966BBB"/>
    <w:rsid w:val="00967E91"/>
    <w:rsid w:val="009714B0"/>
    <w:rsid w:val="00977A5F"/>
    <w:rsid w:val="00977A87"/>
    <w:rsid w:val="00977E9C"/>
    <w:rsid w:val="00984F8E"/>
    <w:rsid w:val="0098756C"/>
    <w:rsid w:val="00990335"/>
    <w:rsid w:val="009936F9"/>
    <w:rsid w:val="00995F0D"/>
    <w:rsid w:val="009A05EE"/>
    <w:rsid w:val="009A1070"/>
    <w:rsid w:val="009A48B0"/>
    <w:rsid w:val="009B48FF"/>
    <w:rsid w:val="009B564D"/>
    <w:rsid w:val="009C4DAB"/>
    <w:rsid w:val="009C5E59"/>
    <w:rsid w:val="009C6B13"/>
    <w:rsid w:val="009E0942"/>
    <w:rsid w:val="009E188F"/>
    <w:rsid w:val="009E32AD"/>
    <w:rsid w:val="009F30A8"/>
    <w:rsid w:val="009F6805"/>
    <w:rsid w:val="009F752B"/>
    <w:rsid w:val="00A12538"/>
    <w:rsid w:val="00A23768"/>
    <w:rsid w:val="00A27173"/>
    <w:rsid w:val="00A34AA7"/>
    <w:rsid w:val="00A3721C"/>
    <w:rsid w:val="00A54DDA"/>
    <w:rsid w:val="00A643F8"/>
    <w:rsid w:val="00A66992"/>
    <w:rsid w:val="00A708D7"/>
    <w:rsid w:val="00A76415"/>
    <w:rsid w:val="00A77BFE"/>
    <w:rsid w:val="00AA09F4"/>
    <w:rsid w:val="00AA2A8D"/>
    <w:rsid w:val="00AA4C14"/>
    <w:rsid w:val="00AB1994"/>
    <w:rsid w:val="00AB5680"/>
    <w:rsid w:val="00AC17F0"/>
    <w:rsid w:val="00AC2AE0"/>
    <w:rsid w:val="00AC7A23"/>
    <w:rsid w:val="00AD3E26"/>
    <w:rsid w:val="00AE1DF1"/>
    <w:rsid w:val="00AE425A"/>
    <w:rsid w:val="00AE43B7"/>
    <w:rsid w:val="00AF0A61"/>
    <w:rsid w:val="00AF1913"/>
    <w:rsid w:val="00B1340F"/>
    <w:rsid w:val="00B139E4"/>
    <w:rsid w:val="00B164DD"/>
    <w:rsid w:val="00B270D9"/>
    <w:rsid w:val="00B3540F"/>
    <w:rsid w:val="00B45E40"/>
    <w:rsid w:val="00B466F2"/>
    <w:rsid w:val="00B64204"/>
    <w:rsid w:val="00B6668B"/>
    <w:rsid w:val="00B67561"/>
    <w:rsid w:val="00B70B1A"/>
    <w:rsid w:val="00B71C6F"/>
    <w:rsid w:val="00B84E7F"/>
    <w:rsid w:val="00B96DE2"/>
    <w:rsid w:val="00B97F01"/>
    <w:rsid w:val="00BA0052"/>
    <w:rsid w:val="00BB1A73"/>
    <w:rsid w:val="00BB3C30"/>
    <w:rsid w:val="00BC5FE7"/>
    <w:rsid w:val="00BD22AC"/>
    <w:rsid w:val="00BD2643"/>
    <w:rsid w:val="00BD2EBA"/>
    <w:rsid w:val="00BD4058"/>
    <w:rsid w:val="00BD64D4"/>
    <w:rsid w:val="00BE568B"/>
    <w:rsid w:val="00BE78C2"/>
    <w:rsid w:val="00BF4F29"/>
    <w:rsid w:val="00BF5681"/>
    <w:rsid w:val="00BF7DEC"/>
    <w:rsid w:val="00C019EB"/>
    <w:rsid w:val="00C03D20"/>
    <w:rsid w:val="00C06DC9"/>
    <w:rsid w:val="00C108BC"/>
    <w:rsid w:val="00C11645"/>
    <w:rsid w:val="00C1516A"/>
    <w:rsid w:val="00C16450"/>
    <w:rsid w:val="00C32C07"/>
    <w:rsid w:val="00C34BE7"/>
    <w:rsid w:val="00C428F9"/>
    <w:rsid w:val="00C4480F"/>
    <w:rsid w:val="00C4636C"/>
    <w:rsid w:val="00C6770A"/>
    <w:rsid w:val="00C70CB1"/>
    <w:rsid w:val="00C70F49"/>
    <w:rsid w:val="00C7427E"/>
    <w:rsid w:val="00C764E9"/>
    <w:rsid w:val="00C900A9"/>
    <w:rsid w:val="00C91CC2"/>
    <w:rsid w:val="00C95498"/>
    <w:rsid w:val="00C96EBA"/>
    <w:rsid w:val="00CA02F5"/>
    <w:rsid w:val="00CA481B"/>
    <w:rsid w:val="00CA4B57"/>
    <w:rsid w:val="00CA5B41"/>
    <w:rsid w:val="00CB5E9A"/>
    <w:rsid w:val="00CC7504"/>
    <w:rsid w:val="00CE1CD9"/>
    <w:rsid w:val="00CF6078"/>
    <w:rsid w:val="00D04407"/>
    <w:rsid w:val="00D1225B"/>
    <w:rsid w:val="00D15735"/>
    <w:rsid w:val="00D22DFA"/>
    <w:rsid w:val="00D22ED7"/>
    <w:rsid w:val="00D313F7"/>
    <w:rsid w:val="00D413F1"/>
    <w:rsid w:val="00D47FA5"/>
    <w:rsid w:val="00D5108C"/>
    <w:rsid w:val="00D5605B"/>
    <w:rsid w:val="00D6261E"/>
    <w:rsid w:val="00D65513"/>
    <w:rsid w:val="00D700B9"/>
    <w:rsid w:val="00D738A7"/>
    <w:rsid w:val="00D74838"/>
    <w:rsid w:val="00D80DBE"/>
    <w:rsid w:val="00D90D76"/>
    <w:rsid w:val="00DA49A1"/>
    <w:rsid w:val="00DB2E93"/>
    <w:rsid w:val="00DC2CC0"/>
    <w:rsid w:val="00DD5149"/>
    <w:rsid w:val="00DD67C1"/>
    <w:rsid w:val="00DE590C"/>
    <w:rsid w:val="00DE6EC3"/>
    <w:rsid w:val="00DF47A8"/>
    <w:rsid w:val="00DF6351"/>
    <w:rsid w:val="00E01673"/>
    <w:rsid w:val="00E02B7A"/>
    <w:rsid w:val="00E07055"/>
    <w:rsid w:val="00E07171"/>
    <w:rsid w:val="00E21EAD"/>
    <w:rsid w:val="00E2445B"/>
    <w:rsid w:val="00E30FC7"/>
    <w:rsid w:val="00E33130"/>
    <w:rsid w:val="00E358C1"/>
    <w:rsid w:val="00E436DA"/>
    <w:rsid w:val="00E43922"/>
    <w:rsid w:val="00E45475"/>
    <w:rsid w:val="00E53639"/>
    <w:rsid w:val="00E569A0"/>
    <w:rsid w:val="00E76BA0"/>
    <w:rsid w:val="00E868B2"/>
    <w:rsid w:val="00E93051"/>
    <w:rsid w:val="00EB524C"/>
    <w:rsid w:val="00EC0A0C"/>
    <w:rsid w:val="00EC0E74"/>
    <w:rsid w:val="00EC6520"/>
    <w:rsid w:val="00ED1040"/>
    <w:rsid w:val="00ED47BD"/>
    <w:rsid w:val="00EE24A0"/>
    <w:rsid w:val="00EE3329"/>
    <w:rsid w:val="00EF3F55"/>
    <w:rsid w:val="00F21EA0"/>
    <w:rsid w:val="00F37865"/>
    <w:rsid w:val="00F45D66"/>
    <w:rsid w:val="00F6392A"/>
    <w:rsid w:val="00F67138"/>
    <w:rsid w:val="00F737A1"/>
    <w:rsid w:val="00F73C92"/>
    <w:rsid w:val="00F77BB5"/>
    <w:rsid w:val="00F80249"/>
    <w:rsid w:val="00F90257"/>
    <w:rsid w:val="00F91FB0"/>
    <w:rsid w:val="00F9437E"/>
    <w:rsid w:val="00F955C9"/>
    <w:rsid w:val="00FC2BA4"/>
    <w:rsid w:val="00FE0AC5"/>
    <w:rsid w:val="00FF18F8"/>
    <w:rsid w:val="00FF1DCB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25B9C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E30FC7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E30FC7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895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E30FC7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E30FC7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89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ing.com/companies/leoni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ages/LEONI-Group-official-profile/19314662739175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esse@leoni.com" TargetMode="External"/><Relationship Id="rId10" Type="http://schemas.openxmlformats.org/officeDocument/2006/relationships/hyperlink" Target="http://www.leoni.com/?q1-2014&amp;L=0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media.leoni.com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7811-2EA1-4677-85CB-947BE1A5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6684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Schmidt, Sven</cp:lastModifiedBy>
  <cp:revision>4</cp:revision>
  <cp:lastPrinted>2014-05-12T07:17:00Z</cp:lastPrinted>
  <dcterms:created xsi:type="dcterms:W3CDTF">2014-05-12T07:02:00Z</dcterms:created>
  <dcterms:modified xsi:type="dcterms:W3CDTF">2014-05-12T07:18:00Z</dcterms:modified>
</cp:coreProperties>
</file>