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EE" w:rsidRPr="0070203B" w:rsidRDefault="000F65EE" w:rsidP="000F65EE">
      <w:pPr>
        <w:pStyle w:val="MMU1"/>
        <w:rPr>
          <w:bCs w:val="0"/>
          <w:szCs w:val="24"/>
          <w:lang w:val="en-US"/>
        </w:rPr>
      </w:pPr>
      <w:bookmarkStart w:id="0" w:name="_GoBack"/>
      <w:bookmarkEnd w:id="0"/>
      <w:proofErr w:type="spellStart"/>
      <w:r>
        <w:rPr>
          <w:bCs w:val="0"/>
          <w:szCs w:val="24"/>
          <w:lang w:val="en-GB"/>
        </w:rPr>
        <w:t>Leoni’s</w:t>
      </w:r>
      <w:proofErr w:type="spellEnd"/>
      <w:r>
        <w:rPr>
          <w:bCs w:val="0"/>
          <w:szCs w:val="24"/>
          <w:lang w:val="en-GB"/>
        </w:rPr>
        <w:t xml:space="preserve"> earnings up strongly in the first quarter of 2014</w:t>
      </w:r>
    </w:p>
    <w:p w:rsidR="000F65EE" w:rsidRPr="0070203B" w:rsidRDefault="000F65EE" w:rsidP="000F65EE">
      <w:pPr>
        <w:pStyle w:val="MMU2"/>
        <w:rPr>
          <w:rFonts w:cs="Times New Roman"/>
          <w:lang w:val="en-US"/>
        </w:rPr>
      </w:pPr>
      <w:r>
        <w:rPr>
          <w:rFonts w:cs="Times New Roman"/>
        </w:rPr>
        <w:t>Dynamic performance in the automotive and industrial businesses</w:t>
      </w:r>
      <w:r w:rsidRPr="0070203B">
        <w:rPr>
          <w:rFonts w:cs="Times New Roman"/>
          <w:lang w:val="en-US"/>
        </w:rPr>
        <w:t xml:space="preserve"> </w:t>
      </w:r>
    </w:p>
    <w:p w:rsidR="000F65EE" w:rsidRPr="0070203B" w:rsidRDefault="000F65EE" w:rsidP="000F65EE">
      <w:pPr>
        <w:pStyle w:val="MMVorspann"/>
        <w:rPr>
          <w:rFonts w:cs="Times New Roman"/>
          <w:bCs w:val="0"/>
          <w:szCs w:val="24"/>
          <w:lang w:val="en-US"/>
        </w:rPr>
      </w:pPr>
      <w:r>
        <w:rPr>
          <w:rFonts w:cs="Times New Roman"/>
          <w:bCs w:val="0"/>
          <w:szCs w:val="24"/>
          <w:lang w:val="en-GB"/>
        </w:rPr>
        <w:t>Nuremberg, 13 May 2014 – Leoni AG made a dynamic start to the current year.</w:t>
      </w:r>
      <w:r w:rsidRPr="0070203B">
        <w:rPr>
          <w:rFonts w:cs="Times New Roman"/>
          <w:bCs w:val="0"/>
          <w:szCs w:val="24"/>
          <w:lang w:val="en-US"/>
        </w:rPr>
        <w:t xml:space="preserve"> </w:t>
      </w:r>
      <w:r>
        <w:rPr>
          <w:rFonts w:cs="Times New Roman"/>
          <w:bCs w:val="0"/>
          <w:szCs w:val="24"/>
          <w:lang w:val="en-GB"/>
        </w:rPr>
        <w:t>In the first three months of 2014, the leading provider of cables and cable systems to the automotive sector and other industries increased its consolidated sales by over 6 percent year on year to the highest ever quarterly total of EUR 1,020.2 million (previous year: EUR 959.0 million).</w:t>
      </w:r>
      <w:r w:rsidRPr="0070203B">
        <w:rPr>
          <w:rFonts w:cs="Times New Roman"/>
          <w:bCs w:val="0"/>
          <w:szCs w:val="24"/>
          <w:lang w:val="en-US"/>
        </w:rPr>
        <w:t xml:space="preserve"> </w:t>
      </w:r>
      <w:r>
        <w:rPr>
          <w:rFonts w:cs="Times New Roman"/>
          <w:bCs w:val="0"/>
          <w:szCs w:val="24"/>
          <w:lang w:val="en-GB"/>
        </w:rPr>
        <w:t>EBIT was up by more than 31 percent to EUR 50.6 million (previous year: EUR 38.5 million), underpinned by the larger amount of sales, better capacity utilisation and growth in profitable areas of business.</w:t>
      </w:r>
      <w:r w:rsidRPr="0070203B">
        <w:rPr>
          <w:rFonts w:cs="Times New Roman"/>
          <w:bCs w:val="0"/>
          <w:szCs w:val="24"/>
          <w:lang w:val="en-US"/>
        </w:rPr>
        <w:t xml:space="preserve"> </w:t>
      </w:r>
      <w:r>
        <w:rPr>
          <w:rFonts w:cs="Times New Roman"/>
          <w:bCs w:val="0"/>
          <w:szCs w:val="24"/>
          <w:lang w:val="en-GB"/>
        </w:rPr>
        <w:t xml:space="preserve">Consolidated </w:t>
      </w:r>
      <w:r w:rsidR="00A435CF">
        <w:rPr>
          <w:rFonts w:cs="Times New Roman"/>
          <w:bCs w:val="0"/>
          <w:szCs w:val="24"/>
          <w:lang w:val="en-GB"/>
        </w:rPr>
        <w:t xml:space="preserve">net </w:t>
      </w:r>
      <w:r>
        <w:rPr>
          <w:rFonts w:cs="Times New Roman"/>
          <w:bCs w:val="0"/>
          <w:szCs w:val="24"/>
          <w:lang w:val="en-GB"/>
        </w:rPr>
        <w:t>income rose by one third or so to EUR 31.6 million (previous year: EUR 22.6 million).</w:t>
      </w:r>
    </w:p>
    <w:p w:rsidR="000F65EE" w:rsidRPr="0070203B" w:rsidRDefault="000F65EE" w:rsidP="000F65EE">
      <w:pPr>
        <w:pStyle w:val="MMFlietext"/>
        <w:rPr>
          <w:rFonts w:cs="Times New Roman"/>
          <w:szCs w:val="24"/>
          <w:lang w:val="en-US"/>
        </w:rPr>
      </w:pPr>
      <w:r>
        <w:rPr>
          <w:rFonts w:cs="Times New Roman"/>
          <w:szCs w:val="24"/>
          <w:lang w:val="en-GB"/>
        </w:rPr>
        <w:t>To be able to continue to grow and to prepare for impending project start-ups, Leoni invested EUR 35.1 million in property, plant and equipment as well as intangible assets during the period under report, which was almost 8 percent more than in the first quarter of 2013 (previous year: EUR 25.5 million).</w:t>
      </w:r>
      <w:r w:rsidRPr="0070203B">
        <w:rPr>
          <w:rFonts w:cs="Times New Roman"/>
          <w:szCs w:val="24"/>
          <w:lang w:val="en-US"/>
        </w:rPr>
        <w:t xml:space="preserve"> </w:t>
      </w:r>
      <w:r>
        <w:rPr>
          <w:rFonts w:cs="Times New Roman"/>
          <w:szCs w:val="24"/>
          <w:lang w:val="en-GB"/>
        </w:rPr>
        <w:t xml:space="preserve">Among other things, the Company set up </w:t>
      </w:r>
      <w:r w:rsidRPr="00B2763A">
        <w:rPr>
          <w:rFonts w:cs="Times New Roman"/>
          <w:szCs w:val="24"/>
          <w:lang w:val="en-GB"/>
        </w:rPr>
        <w:t xml:space="preserve">and expanded wiring systems plants in </w:t>
      </w:r>
      <w:smartTag w:uri="urn:schemas-microsoft-com:office:smarttags" w:element="country-region">
        <w:r w:rsidRPr="00B2763A">
          <w:rPr>
            <w:rFonts w:cs="Times New Roman"/>
            <w:szCs w:val="24"/>
            <w:lang w:val="en-GB"/>
          </w:rPr>
          <w:t>China</w:t>
        </w:r>
      </w:smartTag>
      <w:r w:rsidRPr="00B2763A">
        <w:rPr>
          <w:rFonts w:cs="Times New Roman"/>
          <w:szCs w:val="24"/>
          <w:lang w:val="en-GB"/>
        </w:rPr>
        <w:t xml:space="preserve">, </w:t>
      </w:r>
      <w:smartTag w:uri="urn:schemas-microsoft-com:office:smarttags" w:element="country-region">
        <w:r w:rsidRPr="00B2763A">
          <w:rPr>
            <w:rFonts w:cs="Times New Roman"/>
            <w:szCs w:val="24"/>
            <w:lang w:val="en-GB"/>
          </w:rPr>
          <w:t>Mexico</w:t>
        </w:r>
      </w:smartTag>
      <w:r w:rsidRPr="00B2763A">
        <w:rPr>
          <w:rFonts w:cs="Times New Roman"/>
          <w:szCs w:val="24"/>
          <w:lang w:val="en-GB"/>
        </w:rPr>
        <w:t xml:space="preserve"> and </w:t>
      </w:r>
      <w:smartTag w:uri="urn:schemas-microsoft-com:office:smarttags" w:element="country-region">
        <w:r w:rsidRPr="00B2763A">
          <w:rPr>
            <w:rFonts w:cs="Times New Roman"/>
            <w:szCs w:val="24"/>
            <w:lang w:val="en-GB"/>
          </w:rPr>
          <w:t>Serbia</w:t>
        </w:r>
      </w:smartTag>
      <w:r w:rsidRPr="00B2763A">
        <w:rPr>
          <w:rFonts w:cs="Times New Roman"/>
          <w:szCs w:val="24"/>
          <w:lang w:val="en-GB"/>
        </w:rPr>
        <w:t xml:space="preserve"> as well as capacity to make automotive and special cables in </w:t>
      </w:r>
      <w:smartTag w:uri="urn:schemas-microsoft-com:office:smarttags" w:element="place">
        <w:r w:rsidRPr="00B2763A">
          <w:rPr>
            <w:rFonts w:cs="Times New Roman"/>
            <w:szCs w:val="24"/>
            <w:lang w:val="en-GB"/>
          </w:rPr>
          <w:t>Eastern Europe</w:t>
        </w:r>
      </w:smartTag>
      <w:r w:rsidRPr="00B2763A">
        <w:rPr>
          <w:rFonts w:cs="Times New Roman"/>
          <w:szCs w:val="24"/>
          <w:lang w:val="en-GB"/>
        </w:rPr>
        <w:t>.</w:t>
      </w:r>
      <w:r w:rsidRPr="00B2763A">
        <w:rPr>
          <w:rFonts w:cs="Times New Roman"/>
          <w:szCs w:val="24"/>
          <w:lang w:val="en-US"/>
        </w:rPr>
        <w:t xml:space="preserve"> </w:t>
      </w:r>
      <w:r w:rsidRPr="00B2763A">
        <w:rPr>
          <w:rFonts w:cs="Times New Roman"/>
          <w:szCs w:val="24"/>
          <w:lang w:val="en-GB"/>
        </w:rPr>
        <w:t>Particularl</w:t>
      </w:r>
      <w:r w:rsidR="00B2763A">
        <w:rPr>
          <w:rFonts w:cs="Times New Roman"/>
          <w:szCs w:val="24"/>
          <w:lang w:val="en-GB"/>
        </w:rPr>
        <w:t xml:space="preserve">y in these locations </w:t>
      </w:r>
      <w:r w:rsidRPr="00B2763A">
        <w:rPr>
          <w:rFonts w:cs="Times New Roman"/>
          <w:szCs w:val="24"/>
          <w:lang w:val="en-GB"/>
        </w:rPr>
        <w:t>Leoni also recruited additional employees in the first three months, taking</w:t>
      </w:r>
      <w:r>
        <w:rPr>
          <w:rFonts w:cs="Times New Roman"/>
          <w:szCs w:val="24"/>
          <w:lang w:val="en-GB"/>
        </w:rPr>
        <w:t xml:space="preserve"> the total number worldwide to 64,071 at the end of March 2014 – 2,480 more people than at the turn of the year (31 December 2013: 61,591).</w:t>
      </w:r>
      <w:r w:rsidRPr="0070203B">
        <w:rPr>
          <w:rFonts w:cs="Times New Roman"/>
          <w:szCs w:val="24"/>
          <w:lang w:val="en-US"/>
        </w:rPr>
        <w:t xml:space="preserve"> </w:t>
      </w:r>
      <w:r>
        <w:rPr>
          <w:rFonts w:cs="Times New Roman"/>
          <w:szCs w:val="24"/>
          <w:lang w:val="en-GB"/>
        </w:rPr>
        <w:t xml:space="preserve">Leoni employed 4,224 people (31 December 2013: 4,222) in </w:t>
      </w:r>
      <w:smartTag w:uri="urn:schemas-microsoft-com:office:smarttags" w:element="country-region">
        <w:r>
          <w:rPr>
            <w:rFonts w:cs="Times New Roman"/>
            <w:szCs w:val="24"/>
            <w:lang w:val="en-GB"/>
          </w:rPr>
          <w:t>Germany</w:t>
        </w:r>
      </w:smartTag>
      <w:r>
        <w:rPr>
          <w:rFonts w:cs="Times New Roman"/>
          <w:szCs w:val="24"/>
          <w:lang w:val="en-GB"/>
        </w:rPr>
        <w:t xml:space="preserve"> and the number outside </w:t>
      </w:r>
      <w:smartTag w:uri="urn:schemas-microsoft-com:office:smarttags" w:element="place">
        <w:smartTag w:uri="urn:schemas-microsoft-com:office:smarttags" w:element="country-region">
          <w:r>
            <w:rPr>
              <w:rFonts w:cs="Times New Roman"/>
              <w:szCs w:val="24"/>
              <w:lang w:val="en-GB"/>
            </w:rPr>
            <w:t>Germany</w:t>
          </w:r>
        </w:smartTag>
      </w:smartTag>
      <w:r>
        <w:rPr>
          <w:rFonts w:cs="Times New Roman"/>
          <w:szCs w:val="24"/>
          <w:lang w:val="en-GB"/>
        </w:rPr>
        <w:t xml:space="preserve"> came to 59,847 (31 December 2013: 57,369).</w:t>
      </w:r>
      <w:r w:rsidRPr="0070203B">
        <w:rPr>
          <w:rFonts w:cs="Times New Roman"/>
          <w:szCs w:val="24"/>
          <w:lang w:val="en-US"/>
        </w:rPr>
        <w:t xml:space="preserve"> </w:t>
      </w:r>
    </w:p>
    <w:p w:rsidR="000F65EE" w:rsidRPr="00B260C6" w:rsidRDefault="000F65EE" w:rsidP="00B260C6">
      <w:pPr>
        <w:pStyle w:val="MMZwischenberschrift"/>
        <w:rPr>
          <w:lang w:val="en-US"/>
        </w:rPr>
      </w:pPr>
      <w:r w:rsidRPr="00B260C6">
        <w:t>Wiring Systems:</w:t>
      </w:r>
      <w:r w:rsidRPr="00B260C6">
        <w:rPr>
          <w:lang w:val="en-US"/>
        </w:rPr>
        <w:t xml:space="preserve"> </w:t>
      </w:r>
      <w:r w:rsidRPr="00B260C6">
        <w:t>heavy demand from the car and commercial vehicle sector</w:t>
      </w:r>
    </w:p>
    <w:p w:rsidR="000F65EE" w:rsidRPr="000F65EE" w:rsidRDefault="000F65EE" w:rsidP="000F65EE">
      <w:pPr>
        <w:pStyle w:val="MMFlietext"/>
        <w:rPr>
          <w:rFonts w:cs="Times New Roman"/>
          <w:szCs w:val="24"/>
          <w:lang w:val="en-US"/>
        </w:rPr>
      </w:pPr>
      <w:r>
        <w:rPr>
          <w:rFonts w:cs="Times New Roman"/>
          <w:szCs w:val="24"/>
          <w:lang w:val="en-GB"/>
        </w:rPr>
        <w:t>The Wiring Systems Division’s sales of wiring systems and cable harnesses were up, in the wake of the continuingly favourable global automotive business, by more than 5 percent year on year to EUR 597.7 million in the period from January to March 2014 (previous year: EUR 567.8 million).</w:t>
      </w:r>
      <w:r w:rsidRPr="000F65EE">
        <w:rPr>
          <w:rFonts w:cs="Times New Roman"/>
          <w:szCs w:val="24"/>
          <w:lang w:val="en-US"/>
        </w:rPr>
        <w:t xml:space="preserve"> </w:t>
      </w:r>
      <w:r>
        <w:rPr>
          <w:rFonts w:cs="Times New Roman"/>
          <w:szCs w:val="24"/>
          <w:lang w:val="en-GB"/>
        </w:rPr>
        <w:t xml:space="preserve">Leoni again benefited from the good market position of its export heavyweight German </w:t>
      </w:r>
      <w:r>
        <w:rPr>
          <w:rFonts w:cs="Times New Roman"/>
          <w:szCs w:val="24"/>
          <w:lang w:val="en-GB"/>
        </w:rPr>
        <w:lastRenderedPageBreak/>
        <w:t xml:space="preserve">customers in Asia and </w:t>
      </w:r>
      <w:smartTag w:uri="urn:schemas-microsoft-com:office:smarttags" w:element="place">
        <w:r>
          <w:rPr>
            <w:rFonts w:cs="Times New Roman"/>
            <w:szCs w:val="24"/>
            <w:lang w:val="en-GB"/>
          </w:rPr>
          <w:t>North America</w:t>
        </w:r>
      </w:smartTag>
      <w:r>
        <w:rPr>
          <w:rFonts w:cs="Times New Roman"/>
          <w:szCs w:val="24"/>
          <w:lang w:val="en-GB"/>
        </w:rPr>
        <w:t>, as well as from the recovery of the French carmakers.</w:t>
      </w:r>
      <w:r w:rsidRPr="000F65EE">
        <w:rPr>
          <w:rFonts w:cs="Times New Roman"/>
          <w:szCs w:val="24"/>
          <w:lang w:val="en-US"/>
        </w:rPr>
        <w:t xml:space="preserve"> </w:t>
      </w:r>
      <w:r>
        <w:rPr>
          <w:rFonts w:cs="Times New Roman"/>
          <w:szCs w:val="24"/>
          <w:lang w:val="en-GB"/>
        </w:rPr>
        <w:t xml:space="preserve">In addition there was growing demand for complex engine cable harnesses for the commercial vehicle industry in Europe and the </w:t>
      </w:r>
      <w:smartTag w:uri="urn:schemas-microsoft-com:office:smarttags" w:element="place">
        <w:smartTag w:uri="urn:schemas-microsoft-com:office:smarttags" w:element="country-region">
          <w:r>
            <w:rPr>
              <w:rFonts w:cs="Times New Roman"/>
              <w:szCs w:val="24"/>
              <w:lang w:val="en-GB"/>
            </w:rPr>
            <w:t>United States</w:t>
          </w:r>
        </w:smartTag>
      </w:smartTag>
      <w:r>
        <w:rPr>
          <w:rFonts w:cs="Times New Roman"/>
          <w:szCs w:val="24"/>
          <w:lang w:val="en-GB"/>
        </w:rPr>
        <w:t xml:space="preserve"> because of the stricter emission standards.</w:t>
      </w:r>
      <w:r w:rsidRPr="000F65EE">
        <w:rPr>
          <w:rFonts w:cs="Times New Roman"/>
          <w:szCs w:val="24"/>
          <w:lang w:val="en-US"/>
        </w:rPr>
        <w:t xml:space="preserve"> </w:t>
      </w:r>
      <w:r>
        <w:rPr>
          <w:rFonts w:cs="Times New Roman"/>
          <w:szCs w:val="24"/>
          <w:lang w:val="en-GB"/>
        </w:rPr>
        <w:t>Sales to the international component supply industry also rose.</w:t>
      </w:r>
      <w:r w:rsidRPr="000F65EE">
        <w:rPr>
          <w:rFonts w:cs="Times New Roman"/>
          <w:szCs w:val="24"/>
          <w:lang w:val="en-US"/>
        </w:rPr>
        <w:t xml:space="preserve"> </w:t>
      </w:r>
      <w:r>
        <w:rPr>
          <w:rFonts w:cs="Times New Roman"/>
          <w:szCs w:val="24"/>
          <w:lang w:val="en-GB"/>
        </w:rPr>
        <w:t>The division’s EBIT climbed by about 30 percent to EUR 31.8 million (previous year: EUR 24.3 million).</w:t>
      </w:r>
      <w:r w:rsidRPr="000F65EE">
        <w:rPr>
          <w:rFonts w:cs="Times New Roman"/>
          <w:szCs w:val="24"/>
          <w:lang w:val="en-US"/>
        </w:rPr>
        <w:t xml:space="preserve"> </w:t>
      </w:r>
    </w:p>
    <w:p w:rsidR="000F65EE" w:rsidRPr="000F65EE" w:rsidRDefault="000F65EE" w:rsidP="00B260C6">
      <w:pPr>
        <w:pStyle w:val="MMZwischenberschrift"/>
        <w:rPr>
          <w:lang w:val="en-US"/>
        </w:rPr>
      </w:pPr>
      <w:r>
        <w:t>Wire &amp; Cable Solutions:</w:t>
      </w:r>
      <w:r w:rsidRPr="000F65EE">
        <w:rPr>
          <w:lang w:val="en-US"/>
        </w:rPr>
        <w:t xml:space="preserve"> </w:t>
      </w:r>
      <w:r>
        <w:t>noticeably revived industrial business</w:t>
      </w:r>
    </w:p>
    <w:p w:rsidR="000F65EE" w:rsidRPr="000F65EE" w:rsidRDefault="000F65EE" w:rsidP="000F65EE">
      <w:pPr>
        <w:pStyle w:val="MMFlietext"/>
        <w:rPr>
          <w:rFonts w:cs="Times New Roman"/>
          <w:szCs w:val="24"/>
          <w:lang w:val="en-US"/>
        </w:rPr>
      </w:pPr>
      <w:r>
        <w:rPr>
          <w:rFonts w:cs="Times New Roman"/>
          <w:szCs w:val="24"/>
          <w:lang w:val="en-GB"/>
        </w:rPr>
        <w:t>The Wire &amp; Cable Solutions Division’s sales were up by 8 percent to EUR 422.6 million in the first quarter of 2014 (previous year: EUR 391.2 million).</w:t>
      </w:r>
      <w:r w:rsidRPr="000F65EE">
        <w:rPr>
          <w:rFonts w:cs="Times New Roman"/>
          <w:szCs w:val="24"/>
          <w:lang w:val="en-US"/>
        </w:rPr>
        <w:t xml:space="preserve"> </w:t>
      </w:r>
      <w:r>
        <w:rPr>
          <w:rFonts w:cs="Times New Roman"/>
          <w:szCs w:val="24"/>
          <w:lang w:val="en-GB"/>
        </w:rPr>
        <w:t>Dema</w:t>
      </w:r>
      <w:r w:rsidRPr="00A435CF">
        <w:rPr>
          <w:rFonts w:cs="Times New Roman"/>
          <w:szCs w:val="24"/>
          <w:lang w:val="en-GB"/>
        </w:rPr>
        <w:t xml:space="preserve">nd for automotive cables remained unabatedly high in Asia and </w:t>
      </w:r>
      <w:r w:rsidR="00A435CF" w:rsidRPr="00A435CF">
        <w:rPr>
          <w:rFonts w:cs="Times New Roman"/>
          <w:szCs w:val="24"/>
          <w:lang w:val="en-GB"/>
        </w:rPr>
        <w:t xml:space="preserve">the </w:t>
      </w:r>
      <w:r w:rsidRPr="00A435CF">
        <w:rPr>
          <w:rFonts w:cs="Times New Roman"/>
          <w:szCs w:val="24"/>
          <w:lang w:val="en-GB"/>
        </w:rPr>
        <w:t>America</w:t>
      </w:r>
      <w:r w:rsidR="00A435CF" w:rsidRPr="00A435CF">
        <w:rPr>
          <w:rFonts w:cs="Times New Roman"/>
          <w:szCs w:val="24"/>
          <w:lang w:val="en-GB"/>
        </w:rPr>
        <w:t>s</w:t>
      </w:r>
      <w:r w:rsidRPr="00A435CF">
        <w:rPr>
          <w:rFonts w:cs="Times New Roman"/>
          <w:szCs w:val="24"/>
          <w:lang w:val="en-GB"/>
        </w:rPr>
        <w:t>, while</w:t>
      </w:r>
      <w:r>
        <w:rPr>
          <w:rFonts w:cs="Times New Roman"/>
          <w:szCs w:val="24"/>
          <w:lang w:val="en-GB"/>
        </w:rPr>
        <w:t xml:space="preserve"> also gaining momentum in Europe thanks to the economic recovery.</w:t>
      </w:r>
      <w:r w:rsidRPr="000F65EE">
        <w:rPr>
          <w:rFonts w:cs="Times New Roman"/>
          <w:szCs w:val="24"/>
          <w:lang w:val="en-US"/>
        </w:rPr>
        <w:t xml:space="preserve"> </w:t>
      </w:r>
      <w:r>
        <w:rPr>
          <w:rFonts w:cs="Times New Roman"/>
          <w:szCs w:val="24"/>
          <w:lang w:val="en-GB"/>
        </w:rPr>
        <w:t>The more favourable economic setting also led to Leoni generating considerably more sales in the strategically important industrial sectors involving cables and cable systems for the capital goods and medical technology industries as well as for communication and infrastructure projects.</w:t>
      </w:r>
      <w:r w:rsidRPr="000F65EE">
        <w:rPr>
          <w:rFonts w:cs="Times New Roman"/>
          <w:szCs w:val="24"/>
          <w:lang w:val="en-US"/>
        </w:rPr>
        <w:t xml:space="preserve"> </w:t>
      </w:r>
      <w:r>
        <w:rPr>
          <w:rFonts w:cs="Times New Roman"/>
          <w:szCs w:val="24"/>
          <w:lang w:val="en-GB"/>
        </w:rPr>
        <w:t>The improved degree of capacity utilisation contributed to the Wire &amp; Cable Solutions Division’s EBIT increasing by nearly 34 percent to EUR 18.8 million (previous year: EUR 14.</w:t>
      </w:r>
      <w:r w:rsidR="00A435CF">
        <w:rPr>
          <w:rFonts w:cs="Times New Roman"/>
          <w:szCs w:val="24"/>
          <w:lang w:val="en-GB"/>
        </w:rPr>
        <w:t>1</w:t>
      </w:r>
      <w:r>
        <w:rPr>
          <w:rFonts w:cs="Times New Roman"/>
          <w:szCs w:val="24"/>
          <w:lang w:val="en-GB"/>
        </w:rPr>
        <w:t xml:space="preserve"> million) even though the division had to absorb charges of EUR 3.5 million during the period under report (previous year: EUR 0.3 million) due to the sharp drop in the market price for copper towards the end of the quarter.</w:t>
      </w:r>
      <w:r w:rsidRPr="000F65EE">
        <w:rPr>
          <w:rFonts w:cs="Times New Roman"/>
          <w:szCs w:val="24"/>
          <w:lang w:val="en-US"/>
        </w:rPr>
        <w:t xml:space="preserve"> </w:t>
      </w:r>
    </w:p>
    <w:p w:rsidR="000F65EE" w:rsidRPr="000F65EE" w:rsidRDefault="000F65EE" w:rsidP="00B260C6">
      <w:pPr>
        <w:pStyle w:val="MMZwischenberschrift"/>
        <w:rPr>
          <w:lang w:val="en-US"/>
        </w:rPr>
      </w:pPr>
      <w:r>
        <w:t xml:space="preserve">Growth plans underpinned by new orders </w:t>
      </w:r>
    </w:p>
    <w:p w:rsidR="0098775F" w:rsidRPr="007F08F8" w:rsidRDefault="000F65EE" w:rsidP="000F65EE">
      <w:pPr>
        <w:pStyle w:val="MMFlietext"/>
        <w:rPr>
          <w:rFonts w:cs="Times New Roman"/>
          <w:szCs w:val="24"/>
          <w:lang w:val="en-US"/>
        </w:rPr>
      </w:pPr>
      <w:r>
        <w:rPr>
          <w:rFonts w:cs="Times New Roman"/>
          <w:szCs w:val="24"/>
          <w:lang w:val="en-GB"/>
        </w:rPr>
        <w:t>Alongside the dynamic performance in the first quarter, various new contracts also underpin the Company's forecasts for 2014 and the subsequent years.</w:t>
      </w:r>
      <w:r w:rsidRPr="000F65EE">
        <w:rPr>
          <w:rFonts w:cs="Times New Roman"/>
          <w:szCs w:val="24"/>
          <w:lang w:val="en-US"/>
        </w:rPr>
        <w:t xml:space="preserve"> </w:t>
      </w:r>
      <w:r>
        <w:rPr>
          <w:rFonts w:cs="Times New Roman"/>
          <w:szCs w:val="24"/>
          <w:lang w:val="en-GB"/>
        </w:rPr>
        <w:t xml:space="preserve">The Wiring Systems Division, for instance, received new orders from French carmakers as well as from the international commercial vehicle and component supply industries. </w:t>
      </w:r>
      <w:r w:rsidR="00A435CF">
        <w:rPr>
          <w:rFonts w:cs="Times New Roman"/>
          <w:szCs w:val="24"/>
          <w:lang w:val="en-GB"/>
        </w:rPr>
        <w:t xml:space="preserve">The Wire &amp; Cable Solutions Division was </w:t>
      </w:r>
      <w:r>
        <w:rPr>
          <w:rFonts w:cs="Times New Roman"/>
          <w:szCs w:val="24"/>
          <w:lang w:val="en-GB"/>
        </w:rPr>
        <w:t xml:space="preserve">commissioned to supply automotive cables for </w:t>
      </w:r>
      <w:r w:rsidR="00A435CF">
        <w:rPr>
          <w:rFonts w:cs="Times New Roman"/>
          <w:szCs w:val="24"/>
          <w:lang w:val="en-GB"/>
        </w:rPr>
        <w:t xml:space="preserve">a </w:t>
      </w:r>
      <w:r>
        <w:rPr>
          <w:rFonts w:cs="Times New Roman"/>
          <w:szCs w:val="24"/>
          <w:lang w:val="en-GB"/>
        </w:rPr>
        <w:t>car platform</w:t>
      </w:r>
      <w:r w:rsidR="00A435CF">
        <w:rPr>
          <w:rFonts w:cs="Times New Roman"/>
          <w:szCs w:val="24"/>
          <w:lang w:val="en-GB"/>
        </w:rPr>
        <w:t xml:space="preserve"> of a US manufacturer</w:t>
      </w:r>
      <w:r>
        <w:rPr>
          <w:rFonts w:cs="Times New Roman"/>
          <w:szCs w:val="24"/>
          <w:lang w:val="en-GB"/>
        </w:rPr>
        <w:t>.</w:t>
      </w:r>
      <w:r w:rsidRPr="000F65EE">
        <w:rPr>
          <w:rFonts w:cs="Times New Roman"/>
          <w:szCs w:val="24"/>
          <w:lang w:val="en-US"/>
        </w:rPr>
        <w:t xml:space="preserve"> </w:t>
      </w:r>
      <w:r>
        <w:rPr>
          <w:rFonts w:cs="Times New Roman"/>
          <w:szCs w:val="24"/>
          <w:lang w:val="en-GB"/>
        </w:rPr>
        <w:t xml:space="preserve">Leoni will also be supplying </w:t>
      </w:r>
      <w:r w:rsidR="00EA6563">
        <w:rPr>
          <w:rFonts w:cs="Times New Roman"/>
          <w:szCs w:val="24"/>
          <w:lang w:val="en-GB"/>
        </w:rPr>
        <w:t xml:space="preserve">high quality </w:t>
      </w:r>
      <w:r>
        <w:rPr>
          <w:rFonts w:cs="Times New Roman"/>
          <w:szCs w:val="24"/>
          <w:lang w:val="en-GB"/>
        </w:rPr>
        <w:t>cable</w:t>
      </w:r>
      <w:r w:rsidR="00EA6563">
        <w:rPr>
          <w:rFonts w:cs="Times New Roman"/>
          <w:szCs w:val="24"/>
          <w:lang w:val="en-GB"/>
        </w:rPr>
        <w:t xml:space="preserve"> system</w:t>
      </w:r>
      <w:r>
        <w:rPr>
          <w:rFonts w:cs="Times New Roman"/>
          <w:szCs w:val="24"/>
          <w:lang w:val="en-GB"/>
        </w:rPr>
        <w:t>s for the robots of a German motor vehicle manufacturer and equipping the world’s largest oil and gas refinery in India with special cables.</w:t>
      </w:r>
      <w:r w:rsidRPr="000F65EE">
        <w:rPr>
          <w:rFonts w:cs="Times New Roman"/>
          <w:szCs w:val="24"/>
          <w:lang w:val="en-US"/>
        </w:rPr>
        <w:t xml:space="preserve"> </w:t>
      </w:r>
      <w:r>
        <w:rPr>
          <w:rFonts w:cs="Times New Roman"/>
          <w:szCs w:val="24"/>
          <w:lang w:val="en-GB"/>
        </w:rPr>
        <w:t xml:space="preserve">Leoni still forecasts increases to approx. EUR 4.1 </w:t>
      </w:r>
      <w:r>
        <w:rPr>
          <w:rFonts w:cs="Times New Roman"/>
          <w:szCs w:val="24"/>
          <w:lang w:val="en-GB"/>
        </w:rPr>
        <w:lastRenderedPageBreak/>
        <w:t>billion (2013: EUR 3.9 billion) in consolidated sales and to EBIT of more than EUR 200 million for 2014 (2013: EUR 163.1 million)</w:t>
      </w:r>
      <w:r w:rsidR="00F55CB1">
        <w:rPr>
          <w:lang w:val="en-GB"/>
        </w:rPr>
        <w:t>.</w:t>
      </w:r>
    </w:p>
    <w:p w:rsidR="00AC5497" w:rsidRPr="000F65EE" w:rsidRDefault="00AC5497" w:rsidP="006366F6">
      <w:pPr>
        <w:pStyle w:val="MMFlietext"/>
        <w:spacing w:after="0"/>
        <w:rPr>
          <w:lang w:val="en-GB"/>
        </w:rPr>
      </w:pPr>
      <w:r w:rsidRPr="000F65EE">
        <w:rPr>
          <w:i/>
          <w:lang w:val="en-GB"/>
        </w:rPr>
        <w:t>(</w:t>
      </w:r>
      <w:r w:rsidR="00BD135F" w:rsidRPr="000F65EE">
        <w:rPr>
          <w:i/>
          <w:lang w:val="en-GB"/>
        </w:rPr>
        <w:t>4,</w:t>
      </w:r>
      <w:r w:rsidR="000209BC" w:rsidRPr="000F65EE">
        <w:rPr>
          <w:i/>
          <w:lang w:val="en-GB"/>
        </w:rPr>
        <w:t>377</w:t>
      </w:r>
      <w:r w:rsidRPr="000F65EE">
        <w:rPr>
          <w:i/>
          <w:lang w:val="en-GB"/>
        </w:rPr>
        <w:t xml:space="preserve"> characters </w:t>
      </w:r>
      <w:proofErr w:type="spellStart"/>
      <w:r w:rsidRPr="000F65EE">
        <w:rPr>
          <w:i/>
          <w:lang w:val="en-GB"/>
        </w:rPr>
        <w:t>incl</w:t>
      </w:r>
      <w:proofErr w:type="spellEnd"/>
      <w:r w:rsidRPr="000F65EE">
        <w:rPr>
          <w:i/>
          <w:lang w:val="en-GB"/>
        </w:rPr>
        <w:t xml:space="preserve"> </w:t>
      </w:r>
      <w:proofErr w:type="spellStart"/>
      <w:proofErr w:type="gramStart"/>
      <w:r w:rsidR="000209BC" w:rsidRPr="000F65EE">
        <w:rPr>
          <w:i/>
          <w:lang w:val="en-GB"/>
        </w:rPr>
        <w:t>blancs</w:t>
      </w:r>
      <w:proofErr w:type="spellEnd"/>
      <w:proofErr w:type="gramEnd"/>
      <w:r w:rsidRPr="000F65EE">
        <w:rPr>
          <w:i/>
          <w:lang w:val="en-GB"/>
        </w:rPr>
        <w:t>)</w:t>
      </w:r>
    </w:p>
    <w:p w:rsidR="00E26F48" w:rsidRDefault="00E26F48" w:rsidP="006366F6">
      <w:pPr>
        <w:pStyle w:val="MMKurzprofilberschrift"/>
        <w:spacing w:before="360" w:after="120"/>
        <w:rPr>
          <w:rFonts w:cs="Times New Roman"/>
          <w:szCs w:val="24"/>
          <w:lang w:val="en-GB"/>
        </w:rPr>
      </w:pPr>
      <w:r w:rsidRPr="008218D9">
        <w:rPr>
          <w:rFonts w:cs="Times New Roman"/>
          <w:szCs w:val="24"/>
          <w:lang w:val="en-GB"/>
        </w:rPr>
        <w:t>Leoni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DF6351" w:rsidTr="00B8338C">
        <w:trPr>
          <w:trHeight w:hRule="exact" w:val="227"/>
        </w:trPr>
        <w:tc>
          <w:tcPr>
            <w:tcW w:w="4077" w:type="dxa"/>
          </w:tcPr>
          <w:p w:rsidR="009E06E1" w:rsidRPr="00DF6351" w:rsidRDefault="0004329A" w:rsidP="00B8338C">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w:t>
            </w:r>
            <w:r w:rsidR="009E06E1" w:rsidRPr="00DF6351">
              <w:rPr>
                <w:rFonts w:ascii="Arial" w:hAnsi="Arial" w:cs="Arial"/>
                <w:b/>
                <w:sz w:val="18"/>
                <w:szCs w:val="18"/>
              </w:rPr>
              <w:t>e</w:t>
            </w:r>
            <w:r w:rsidR="009E06E1">
              <w:rPr>
                <w:rFonts w:ascii="Arial" w:hAnsi="Arial" w:cs="Arial"/>
                <w:b/>
                <w:sz w:val="18"/>
                <w:szCs w:val="18"/>
              </w:rPr>
              <w:t>y</w:t>
            </w:r>
            <w:proofErr w:type="spellEnd"/>
            <w:r w:rsidR="009E06E1">
              <w:rPr>
                <w:rFonts w:ascii="Arial" w:hAnsi="Arial" w:cs="Arial"/>
                <w:b/>
                <w:sz w:val="18"/>
                <w:szCs w:val="18"/>
              </w:rPr>
              <w:t xml:space="preserve"> </w:t>
            </w:r>
            <w:proofErr w:type="spellStart"/>
            <w:r w:rsidR="009E06E1">
              <w:rPr>
                <w:rFonts w:ascii="Arial" w:hAnsi="Arial" w:cs="Arial"/>
                <w:b/>
                <w:sz w:val="18"/>
                <w:szCs w:val="18"/>
              </w:rPr>
              <w:t>figures</w:t>
            </w:r>
            <w:proofErr w:type="spellEnd"/>
          </w:p>
        </w:tc>
        <w:tc>
          <w:tcPr>
            <w:tcW w:w="1276" w:type="dxa"/>
          </w:tcPr>
          <w:p w:rsidR="009E06E1" w:rsidRPr="00DF6351" w:rsidRDefault="007F08F8" w:rsidP="00B260C6">
            <w:pPr>
              <w:tabs>
                <w:tab w:val="left" w:pos="8505"/>
              </w:tabs>
              <w:rPr>
                <w:rFonts w:ascii="Arial" w:hAnsi="Arial" w:cs="Arial"/>
                <w:b/>
                <w:sz w:val="18"/>
                <w:szCs w:val="18"/>
              </w:rPr>
            </w:pPr>
            <w:r>
              <w:rPr>
                <w:rFonts w:ascii="Arial" w:hAnsi="Arial" w:cs="Arial"/>
                <w:b/>
                <w:sz w:val="18"/>
                <w:szCs w:val="18"/>
              </w:rPr>
              <w:t xml:space="preserve">Q1 </w:t>
            </w:r>
            <w:r w:rsidR="009E06E1" w:rsidRPr="00DF6351">
              <w:rPr>
                <w:rFonts w:ascii="Arial" w:hAnsi="Arial" w:cs="Arial"/>
                <w:b/>
                <w:sz w:val="18"/>
                <w:szCs w:val="18"/>
              </w:rPr>
              <w:t>20</w:t>
            </w:r>
            <w:r w:rsidR="009E06E1">
              <w:rPr>
                <w:rFonts w:ascii="Arial" w:hAnsi="Arial" w:cs="Arial"/>
                <w:b/>
                <w:sz w:val="18"/>
                <w:szCs w:val="18"/>
              </w:rPr>
              <w:t>1</w:t>
            </w:r>
            <w:r w:rsidR="00B260C6">
              <w:rPr>
                <w:rFonts w:ascii="Arial" w:hAnsi="Arial" w:cs="Arial"/>
                <w:b/>
                <w:sz w:val="18"/>
                <w:szCs w:val="18"/>
              </w:rPr>
              <w:t>4</w:t>
            </w:r>
          </w:p>
        </w:tc>
        <w:tc>
          <w:tcPr>
            <w:tcW w:w="1276" w:type="dxa"/>
          </w:tcPr>
          <w:p w:rsidR="009E06E1" w:rsidRPr="00DF6351" w:rsidRDefault="007F08F8" w:rsidP="00B260C6">
            <w:pPr>
              <w:tabs>
                <w:tab w:val="left" w:pos="8505"/>
              </w:tabs>
              <w:rPr>
                <w:rFonts w:ascii="Arial" w:hAnsi="Arial" w:cs="Arial"/>
                <w:b/>
                <w:sz w:val="18"/>
                <w:szCs w:val="18"/>
              </w:rPr>
            </w:pPr>
            <w:r>
              <w:rPr>
                <w:rFonts w:ascii="Arial" w:hAnsi="Arial" w:cs="Arial"/>
                <w:b/>
                <w:sz w:val="18"/>
                <w:szCs w:val="18"/>
              </w:rPr>
              <w:t xml:space="preserve">Q1 </w:t>
            </w:r>
            <w:r w:rsidR="009E06E1" w:rsidRPr="00DF6351">
              <w:rPr>
                <w:rFonts w:ascii="Arial" w:hAnsi="Arial" w:cs="Arial"/>
                <w:b/>
                <w:sz w:val="18"/>
                <w:szCs w:val="18"/>
              </w:rPr>
              <w:t>20</w:t>
            </w:r>
            <w:r w:rsidR="009E06E1">
              <w:rPr>
                <w:rFonts w:ascii="Arial" w:hAnsi="Arial" w:cs="Arial"/>
                <w:b/>
                <w:sz w:val="18"/>
                <w:szCs w:val="18"/>
              </w:rPr>
              <w:t>1</w:t>
            </w:r>
            <w:r w:rsidR="00B260C6">
              <w:rPr>
                <w:rFonts w:ascii="Arial" w:hAnsi="Arial" w:cs="Arial"/>
                <w:b/>
                <w:sz w:val="18"/>
                <w:szCs w:val="18"/>
              </w:rPr>
              <w:t>3</w:t>
            </w:r>
          </w:p>
        </w:tc>
        <w:tc>
          <w:tcPr>
            <w:tcW w:w="1276" w:type="dxa"/>
          </w:tcPr>
          <w:p w:rsidR="009E06E1" w:rsidRPr="00DF6351" w:rsidRDefault="009E06E1" w:rsidP="009E06E1">
            <w:pPr>
              <w:tabs>
                <w:tab w:val="left" w:pos="8505"/>
              </w:tabs>
              <w:ind w:left="-13" w:right="-108"/>
              <w:rPr>
                <w:rFonts w:ascii="Arial" w:hAnsi="Arial" w:cs="Arial"/>
                <w:b/>
                <w:sz w:val="18"/>
                <w:szCs w:val="18"/>
              </w:rPr>
            </w:pPr>
            <w:r>
              <w:rPr>
                <w:rFonts w:ascii="Arial" w:hAnsi="Arial" w:cs="Arial"/>
                <w:b/>
                <w:sz w:val="18"/>
                <w:szCs w:val="18"/>
              </w:rPr>
              <w:t>Change</w:t>
            </w:r>
          </w:p>
        </w:tc>
      </w:tr>
      <w:tr w:rsidR="00B260C6" w:rsidRPr="0004329A" w:rsidTr="00B8338C">
        <w:trPr>
          <w:trHeight w:hRule="exact" w:val="284"/>
        </w:trPr>
        <w:tc>
          <w:tcPr>
            <w:tcW w:w="4077" w:type="dxa"/>
            <w:vAlign w:val="center"/>
          </w:tcPr>
          <w:p w:rsidR="00B260C6" w:rsidRPr="007F08F8" w:rsidRDefault="00B260C6" w:rsidP="007F08F8">
            <w:pPr>
              <w:tabs>
                <w:tab w:val="left" w:pos="8505"/>
              </w:tabs>
            </w:pPr>
            <w:r w:rsidRPr="007F08F8">
              <w:rPr>
                <w:rFonts w:ascii="Arial" w:hAnsi="Arial"/>
                <w:sz w:val="18"/>
                <w:lang w:val="en-GB"/>
              </w:rPr>
              <w:t>Sales [€ million]</w:t>
            </w:r>
          </w:p>
        </w:tc>
        <w:tc>
          <w:tcPr>
            <w:tcW w:w="1276" w:type="dxa"/>
            <w:vAlign w:val="center"/>
          </w:tcPr>
          <w:p w:rsidR="00B260C6" w:rsidRPr="00BE78C2" w:rsidRDefault="00B260C6" w:rsidP="00B260C6">
            <w:pPr>
              <w:tabs>
                <w:tab w:val="left" w:pos="8505"/>
              </w:tabs>
              <w:rPr>
                <w:rFonts w:ascii="Arial" w:hAnsi="Arial" w:cs="Arial"/>
                <w:sz w:val="18"/>
                <w:szCs w:val="18"/>
              </w:rPr>
            </w:pPr>
            <w:r>
              <w:rPr>
                <w:rFonts w:ascii="Arial" w:hAnsi="Arial" w:cs="Arial"/>
                <w:sz w:val="18"/>
                <w:szCs w:val="18"/>
              </w:rPr>
              <w:t>1,020.2</w:t>
            </w:r>
          </w:p>
        </w:tc>
        <w:tc>
          <w:tcPr>
            <w:tcW w:w="1276" w:type="dxa"/>
            <w:vAlign w:val="center"/>
          </w:tcPr>
          <w:p w:rsidR="00B260C6" w:rsidRPr="00BE78C2" w:rsidRDefault="00B260C6" w:rsidP="00B260C6">
            <w:pPr>
              <w:tabs>
                <w:tab w:val="left" w:pos="8505"/>
              </w:tabs>
              <w:rPr>
                <w:rFonts w:ascii="Arial" w:hAnsi="Arial" w:cs="Arial"/>
                <w:sz w:val="18"/>
                <w:szCs w:val="18"/>
              </w:rPr>
            </w:pPr>
            <w:r>
              <w:rPr>
                <w:rFonts w:ascii="Arial" w:hAnsi="Arial" w:cs="Arial"/>
                <w:sz w:val="18"/>
                <w:szCs w:val="18"/>
              </w:rPr>
              <w:t>959.0</w:t>
            </w:r>
          </w:p>
        </w:tc>
        <w:tc>
          <w:tcPr>
            <w:tcW w:w="1276" w:type="dxa"/>
            <w:vAlign w:val="center"/>
          </w:tcPr>
          <w:p w:rsidR="00B260C6" w:rsidRPr="00BE78C2" w:rsidRDefault="00B260C6" w:rsidP="00B260C6">
            <w:pPr>
              <w:tabs>
                <w:tab w:val="left" w:pos="8505"/>
              </w:tabs>
              <w:rPr>
                <w:rFonts w:ascii="Arial" w:hAnsi="Arial" w:cs="Arial"/>
                <w:sz w:val="18"/>
                <w:szCs w:val="18"/>
              </w:rPr>
            </w:pPr>
            <w:r>
              <w:rPr>
                <w:rFonts w:ascii="Arial" w:hAnsi="Arial" w:cs="Arial"/>
                <w:sz w:val="18"/>
                <w:szCs w:val="18"/>
              </w:rPr>
              <w:t>6.4 %</w:t>
            </w:r>
          </w:p>
        </w:tc>
      </w:tr>
      <w:tr w:rsidR="00B260C6" w:rsidRPr="00B260C6" w:rsidTr="00B8338C">
        <w:trPr>
          <w:trHeight w:hRule="exact" w:val="284"/>
        </w:trPr>
        <w:tc>
          <w:tcPr>
            <w:tcW w:w="4077" w:type="dxa"/>
            <w:vAlign w:val="center"/>
          </w:tcPr>
          <w:p w:rsidR="00B260C6" w:rsidRPr="007F08F8" w:rsidRDefault="00B260C6" w:rsidP="007F08F8">
            <w:pPr>
              <w:tabs>
                <w:tab w:val="left" w:pos="8505"/>
              </w:tabs>
            </w:pPr>
            <w:r w:rsidRPr="007F08F8">
              <w:rPr>
                <w:rFonts w:ascii="Arial" w:hAnsi="Arial"/>
                <w:sz w:val="18"/>
                <w:lang w:val="en-GB"/>
              </w:rPr>
              <w:t>EBITDA [€ million]</w:t>
            </w:r>
          </w:p>
        </w:tc>
        <w:tc>
          <w:tcPr>
            <w:tcW w:w="1276" w:type="dxa"/>
            <w:vAlign w:val="center"/>
          </w:tcPr>
          <w:p w:rsidR="00B260C6" w:rsidRDefault="00B260C6" w:rsidP="00B260C6">
            <w:pPr>
              <w:tabs>
                <w:tab w:val="left" w:pos="8505"/>
              </w:tabs>
              <w:rPr>
                <w:rFonts w:ascii="Arial" w:hAnsi="Arial" w:cs="Arial"/>
                <w:sz w:val="18"/>
                <w:szCs w:val="18"/>
              </w:rPr>
            </w:pPr>
            <w:r>
              <w:rPr>
                <w:rFonts w:ascii="Arial" w:hAnsi="Arial" w:cs="Arial"/>
                <w:sz w:val="18"/>
                <w:szCs w:val="18"/>
              </w:rPr>
              <w:t>80.7</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68.2</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18.3 %</w:t>
            </w:r>
          </w:p>
        </w:tc>
      </w:tr>
      <w:tr w:rsidR="00B260C6" w:rsidRPr="00B260C6" w:rsidTr="00B8338C">
        <w:trPr>
          <w:trHeight w:hRule="exact" w:val="284"/>
        </w:trPr>
        <w:tc>
          <w:tcPr>
            <w:tcW w:w="4077" w:type="dxa"/>
            <w:vAlign w:val="center"/>
          </w:tcPr>
          <w:p w:rsidR="00B260C6" w:rsidRPr="008203D4" w:rsidRDefault="00B260C6" w:rsidP="007F08F8">
            <w:pPr>
              <w:tabs>
                <w:tab w:val="left" w:pos="8505"/>
              </w:tabs>
              <w:rPr>
                <w:lang w:val="en-US"/>
              </w:rPr>
            </w:pPr>
            <w:r w:rsidRPr="007F08F8">
              <w:rPr>
                <w:rFonts w:ascii="Arial" w:hAnsi="Arial"/>
                <w:sz w:val="18"/>
                <w:lang w:val="en-GB"/>
              </w:rPr>
              <w:t>EBIT [€ million]</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50.6</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38</w:t>
            </w:r>
            <w:r>
              <w:rPr>
                <w:rFonts w:ascii="Arial" w:hAnsi="Arial" w:cs="Arial"/>
                <w:sz w:val="18"/>
                <w:szCs w:val="18"/>
                <w:lang w:val="en-US"/>
              </w:rPr>
              <w:t>.</w:t>
            </w:r>
            <w:r w:rsidRPr="00B260C6">
              <w:rPr>
                <w:rFonts w:ascii="Arial" w:hAnsi="Arial" w:cs="Arial"/>
                <w:sz w:val="18"/>
                <w:szCs w:val="18"/>
                <w:lang w:val="en-US"/>
              </w:rPr>
              <w:t>5</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31.5 %</w:t>
            </w:r>
          </w:p>
        </w:tc>
      </w:tr>
      <w:tr w:rsidR="00B260C6" w:rsidRPr="00B2763A" w:rsidTr="00B8338C">
        <w:trPr>
          <w:trHeight w:hRule="exact" w:val="284"/>
        </w:trPr>
        <w:tc>
          <w:tcPr>
            <w:tcW w:w="4077" w:type="dxa"/>
            <w:vAlign w:val="center"/>
          </w:tcPr>
          <w:p w:rsidR="00B260C6" w:rsidRPr="008203D4" w:rsidRDefault="00B260C6" w:rsidP="00B260C6">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xml:space="preserve"> [€ million]</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52</w:t>
            </w:r>
            <w:r>
              <w:rPr>
                <w:rFonts w:ascii="Arial" w:hAnsi="Arial" w:cs="Arial"/>
                <w:sz w:val="18"/>
                <w:szCs w:val="18"/>
                <w:lang w:val="en-US"/>
              </w:rPr>
              <w:t>.</w:t>
            </w:r>
            <w:r w:rsidRPr="00B260C6">
              <w:rPr>
                <w:rFonts w:ascii="Arial" w:hAnsi="Arial" w:cs="Arial"/>
                <w:sz w:val="18"/>
                <w:szCs w:val="18"/>
                <w:lang w:val="en-US"/>
              </w:rPr>
              <w:t>8</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43</w:t>
            </w:r>
            <w:r>
              <w:rPr>
                <w:rFonts w:ascii="Arial" w:hAnsi="Arial" w:cs="Arial"/>
                <w:sz w:val="18"/>
                <w:szCs w:val="18"/>
                <w:lang w:val="en-US"/>
              </w:rPr>
              <w:t>.</w:t>
            </w:r>
            <w:r w:rsidRPr="00B260C6">
              <w:rPr>
                <w:rFonts w:ascii="Arial" w:hAnsi="Arial" w:cs="Arial"/>
                <w:sz w:val="18"/>
                <w:szCs w:val="18"/>
                <w:lang w:val="en-US"/>
              </w:rPr>
              <w:t>0</w:t>
            </w:r>
          </w:p>
        </w:tc>
        <w:tc>
          <w:tcPr>
            <w:tcW w:w="1276" w:type="dxa"/>
            <w:vAlign w:val="center"/>
          </w:tcPr>
          <w:p w:rsidR="00B260C6" w:rsidRPr="00B260C6" w:rsidRDefault="00B260C6" w:rsidP="00B2763A">
            <w:pPr>
              <w:tabs>
                <w:tab w:val="left" w:pos="8505"/>
              </w:tabs>
              <w:rPr>
                <w:rFonts w:ascii="Arial" w:hAnsi="Arial" w:cs="Arial"/>
                <w:sz w:val="18"/>
                <w:szCs w:val="18"/>
                <w:lang w:val="en-US"/>
              </w:rPr>
            </w:pPr>
            <w:r w:rsidRPr="00B260C6">
              <w:rPr>
                <w:rFonts w:ascii="Arial" w:hAnsi="Arial" w:cs="Arial"/>
                <w:sz w:val="18"/>
                <w:szCs w:val="18"/>
                <w:lang w:val="en-US"/>
              </w:rPr>
              <w:t>22</w:t>
            </w:r>
            <w:r w:rsidR="00B2763A">
              <w:rPr>
                <w:rFonts w:ascii="Arial" w:hAnsi="Arial" w:cs="Arial"/>
                <w:sz w:val="18"/>
                <w:szCs w:val="18"/>
                <w:lang w:val="en-US"/>
              </w:rPr>
              <w:t>.</w:t>
            </w:r>
            <w:r w:rsidRPr="00B260C6">
              <w:rPr>
                <w:rFonts w:ascii="Arial" w:hAnsi="Arial" w:cs="Arial"/>
                <w:sz w:val="18"/>
                <w:szCs w:val="18"/>
                <w:lang w:val="en-US"/>
              </w:rPr>
              <w:t>8 %</w:t>
            </w:r>
          </w:p>
        </w:tc>
      </w:tr>
      <w:tr w:rsidR="00B260C6" w:rsidRPr="00B2763A" w:rsidTr="00B8338C">
        <w:trPr>
          <w:trHeight w:hRule="exact" w:val="284"/>
        </w:trPr>
        <w:tc>
          <w:tcPr>
            <w:tcW w:w="4077" w:type="dxa"/>
            <w:vAlign w:val="center"/>
          </w:tcPr>
          <w:p w:rsidR="00B260C6" w:rsidRPr="008203D4" w:rsidRDefault="00B260C6" w:rsidP="007F08F8">
            <w:pPr>
              <w:tabs>
                <w:tab w:val="left" w:pos="8505"/>
              </w:tabs>
              <w:rPr>
                <w:lang w:val="en-US"/>
              </w:rPr>
            </w:pPr>
            <w:r w:rsidRPr="007F08F8">
              <w:rPr>
                <w:rFonts w:ascii="Arial" w:hAnsi="Arial"/>
                <w:sz w:val="18"/>
                <w:lang w:val="en-GB"/>
              </w:rPr>
              <w:t>EBT [€ million]</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43</w:t>
            </w:r>
            <w:r>
              <w:rPr>
                <w:rFonts w:ascii="Arial" w:hAnsi="Arial" w:cs="Arial"/>
                <w:sz w:val="18"/>
                <w:szCs w:val="18"/>
                <w:lang w:val="en-US"/>
              </w:rPr>
              <w:t>.</w:t>
            </w:r>
            <w:r w:rsidRPr="00B260C6">
              <w:rPr>
                <w:rFonts w:ascii="Arial" w:hAnsi="Arial" w:cs="Arial"/>
                <w:sz w:val="18"/>
                <w:szCs w:val="18"/>
                <w:lang w:val="en-US"/>
              </w:rPr>
              <w:t>7</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30</w:t>
            </w:r>
            <w:r>
              <w:rPr>
                <w:rFonts w:ascii="Arial" w:hAnsi="Arial" w:cs="Arial"/>
                <w:sz w:val="18"/>
                <w:szCs w:val="18"/>
                <w:lang w:val="en-US"/>
              </w:rPr>
              <w:t>.</w:t>
            </w:r>
            <w:r w:rsidRPr="00B260C6">
              <w:rPr>
                <w:rFonts w:ascii="Arial" w:hAnsi="Arial" w:cs="Arial"/>
                <w:sz w:val="18"/>
                <w:szCs w:val="18"/>
                <w:lang w:val="en-US"/>
              </w:rPr>
              <w:t>0</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45.5 %</w:t>
            </w:r>
          </w:p>
        </w:tc>
      </w:tr>
      <w:tr w:rsidR="00B260C6" w:rsidRPr="00B2763A" w:rsidTr="00B8338C">
        <w:trPr>
          <w:trHeight w:hRule="exact" w:val="284"/>
        </w:trPr>
        <w:tc>
          <w:tcPr>
            <w:tcW w:w="4077" w:type="dxa"/>
            <w:vAlign w:val="center"/>
          </w:tcPr>
          <w:p w:rsidR="00B260C6" w:rsidRPr="00B260C6" w:rsidRDefault="00B260C6" w:rsidP="007F08F8">
            <w:pPr>
              <w:tabs>
                <w:tab w:val="left" w:pos="8505"/>
              </w:tabs>
              <w:rPr>
                <w:lang w:val="en-US"/>
              </w:rPr>
            </w:pPr>
            <w:r w:rsidRPr="007F08F8">
              <w:rPr>
                <w:rFonts w:ascii="Arial" w:hAnsi="Arial"/>
                <w:sz w:val="18"/>
                <w:lang w:val="en-GB"/>
              </w:rPr>
              <w:t>Consolidated net income [€ million]</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31.6</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22</w:t>
            </w:r>
            <w:r>
              <w:rPr>
                <w:rFonts w:ascii="Arial" w:hAnsi="Arial" w:cs="Arial"/>
                <w:sz w:val="18"/>
                <w:szCs w:val="18"/>
                <w:lang w:val="en-US"/>
              </w:rPr>
              <w:t>.</w:t>
            </w:r>
            <w:r w:rsidRPr="00B260C6">
              <w:rPr>
                <w:rFonts w:ascii="Arial" w:hAnsi="Arial" w:cs="Arial"/>
                <w:sz w:val="18"/>
                <w:szCs w:val="18"/>
                <w:lang w:val="en-US"/>
              </w:rPr>
              <w:t>6</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39.7 %</w:t>
            </w:r>
          </w:p>
        </w:tc>
      </w:tr>
      <w:tr w:rsidR="00B260C6" w:rsidRPr="00B2763A" w:rsidTr="00B8338C">
        <w:trPr>
          <w:trHeight w:hRule="exact" w:val="284"/>
        </w:trPr>
        <w:tc>
          <w:tcPr>
            <w:tcW w:w="4077" w:type="dxa"/>
            <w:vAlign w:val="center"/>
          </w:tcPr>
          <w:p w:rsidR="00B260C6" w:rsidRPr="008203D4" w:rsidRDefault="00B260C6" w:rsidP="00B260C6">
            <w:pPr>
              <w:tabs>
                <w:tab w:val="left" w:pos="8505"/>
              </w:tabs>
              <w:rPr>
                <w:lang w:val="en-US"/>
              </w:rPr>
            </w:pPr>
            <w:proofErr w:type="spellStart"/>
            <w:r w:rsidRPr="007F08F8">
              <w:rPr>
                <w:rFonts w:ascii="Arial" w:hAnsi="Arial"/>
                <w:sz w:val="18"/>
                <w:lang w:val="en-GB"/>
              </w:rPr>
              <w:t>Capex</w:t>
            </w:r>
            <w:proofErr w:type="spellEnd"/>
            <w:r w:rsidRPr="007F08F8">
              <w:rPr>
                <w:rFonts w:ascii="Arial" w:hAnsi="Arial"/>
                <w:sz w:val="18"/>
                <w:lang w:val="en-GB"/>
              </w:rPr>
              <w:t xml:space="preserve"> [€ million]</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35</w:t>
            </w:r>
            <w:r>
              <w:rPr>
                <w:rFonts w:ascii="Arial" w:hAnsi="Arial" w:cs="Arial"/>
                <w:sz w:val="18"/>
                <w:szCs w:val="18"/>
                <w:lang w:val="en-US"/>
              </w:rPr>
              <w:t>.</w:t>
            </w:r>
            <w:r w:rsidRPr="00B260C6">
              <w:rPr>
                <w:rFonts w:ascii="Arial" w:hAnsi="Arial" w:cs="Arial"/>
                <w:sz w:val="18"/>
                <w:szCs w:val="18"/>
                <w:lang w:val="en-US"/>
              </w:rPr>
              <w:t>1</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25</w:t>
            </w:r>
            <w:r>
              <w:rPr>
                <w:rFonts w:ascii="Arial" w:hAnsi="Arial" w:cs="Arial"/>
                <w:sz w:val="18"/>
                <w:szCs w:val="18"/>
                <w:lang w:val="en-US"/>
              </w:rPr>
              <w:t>.</w:t>
            </w:r>
            <w:r w:rsidRPr="00B260C6">
              <w:rPr>
                <w:rFonts w:ascii="Arial" w:hAnsi="Arial" w:cs="Arial"/>
                <w:sz w:val="18"/>
                <w:szCs w:val="18"/>
                <w:lang w:val="en-US"/>
              </w:rPr>
              <w:t>5</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37</w:t>
            </w:r>
            <w:r>
              <w:rPr>
                <w:rFonts w:ascii="Arial" w:hAnsi="Arial" w:cs="Arial"/>
                <w:sz w:val="18"/>
                <w:szCs w:val="18"/>
                <w:lang w:val="en-US"/>
              </w:rPr>
              <w:t>.</w:t>
            </w:r>
            <w:r w:rsidRPr="00B260C6">
              <w:rPr>
                <w:rFonts w:ascii="Arial" w:hAnsi="Arial" w:cs="Arial"/>
                <w:sz w:val="18"/>
                <w:szCs w:val="18"/>
                <w:lang w:val="en-US"/>
              </w:rPr>
              <w:t>6 %</w:t>
            </w:r>
          </w:p>
        </w:tc>
      </w:tr>
      <w:tr w:rsidR="00B260C6" w:rsidRPr="00B260C6" w:rsidTr="007F08F8">
        <w:trPr>
          <w:trHeight w:hRule="exact" w:val="284"/>
        </w:trPr>
        <w:tc>
          <w:tcPr>
            <w:tcW w:w="4077" w:type="dxa"/>
            <w:vAlign w:val="center"/>
          </w:tcPr>
          <w:p w:rsidR="00B260C6" w:rsidRPr="007F08F8" w:rsidRDefault="00B260C6" w:rsidP="007F08F8">
            <w:pPr>
              <w:tabs>
                <w:tab w:val="left" w:pos="8505"/>
              </w:tabs>
              <w:rPr>
                <w:rFonts w:ascii="Arial" w:hAnsi="Arial"/>
                <w:sz w:val="18"/>
                <w:lang w:val="en-GB"/>
              </w:rPr>
            </w:pPr>
            <w:r w:rsidRPr="007F08F8">
              <w:rPr>
                <w:rFonts w:ascii="Arial" w:hAnsi="Arial"/>
                <w:sz w:val="18"/>
                <w:lang w:val="en-GB"/>
              </w:rPr>
              <w:t>Equity ratio [%]</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34</w:t>
            </w:r>
            <w:r>
              <w:rPr>
                <w:rFonts w:ascii="Arial" w:hAnsi="Arial" w:cs="Arial"/>
                <w:sz w:val="18"/>
                <w:szCs w:val="18"/>
                <w:lang w:val="en-US"/>
              </w:rPr>
              <w:t>.</w:t>
            </w:r>
            <w:r w:rsidRPr="00B260C6">
              <w:rPr>
                <w:rFonts w:ascii="Arial" w:hAnsi="Arial" w:cs="Arial"/>
                <w:sz w:val="18"/>
                <w:szCs w:val="18"/>
                <w:lang w:val="en-US"/>
              </w:rPr>
              <w:t>2 %</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33</w:t>
            </w:r>
            <w:r>
              <w:rPr>
                <w:rFonts w:ascii="Arial" w:hAnsi="Arial" w:cs="Arial"/>
                <w:sz w:val="18"/>
                <w:szCs w:val="18"/>
                <w:lang w:val="en-US"/>
              </w:rPr>
              <w:t>.</w:t>
            </w:r>
            <w:r w:rsidRPr="00B260C6">
              <w:rPr>
                <w:rFonts w:ascii="Arial" w:hAnsi="Arial" w:cs="Arial"/>
                <w:sz w:val="18"/>
                <w:szCs w:val="18"/>
                <w:lang w:val="en-US"/>
              </w:rPr>
              <w:t>9 %</w:t>
            </w:r>
          </w:p>
        </w:tc>
        <w:tc>
          <w:tcPr>
            <w:tcW w:w="1276" w:type="dxa"/>
            <w:vAlign w:val="center"/>
          </w:tcPr>
          <w:p w:rsidR="00B260C6" w:rsidRPr="00B260C6" w:rsidRDefault="00B260C6" w:rsidP="00B71BDB">
            <w:pPr>
              <w:tabs>
                <w:tab w:val="left" w:pos="8505"/>
              </w:tabs>
              <w:rPr>
                <w:rFonts w:ascii="Arial" w:hAnsi="Arial" w:cs="Arial"/>
                <w:sz w:val="18"/>
                <w:szCs w:val="18"/>
                <w:lang w:val="en-US"/>
              </w:rPr>
            </w:pPr>
            <w:r w:rsidRPr="00B260C6">
              <w:rPr>
                <w:rFonts w:ascii="Arial" w:hAnsi="Arial" w:cs="Arial"/>
                <w:sz w:val="18"/>
                <w:szCs w:val="18"/>
                <w:lang w:val="en-US"/>
              </w:rPr>
              <w:t>-</w:t>
            </w:r>
          </w:p>
        </w:tc>
      </w:tr>
      <w:tr w:rsidR="00B260C6" w:rsidRPr="00B260C6" w:rsidTr="00B8338C">
        <w:trPr>
          <w:trHeight w:hRule="exact" w:val="284"/>
        </w:trPr>
        <w:tc>
          <w:tcPr>
            <w:tcW w:w="4077" w:type="dxa"/>
            <w:vAlign w:val="center"/>
          </w:tcPr>
          <w:p w:rsidR="00B260C6" w:rsidRPr="008203D4" w:rsidRDefault="00B260C6" w:rsidP="007F08F8">
            <w:pPr>
              <w:tabs>
                <w:tab w:val="left" w:pos="8505"/>
              </w:tabs>
              <w:rPr>
                <w:lang w:val="en-US"/>
              </w:rPr>
            </w:pPr>
            <w:r w:rsidRPr="007F08F8">
              <w:rPr>
                <w:rFonts w:ascii="Arial" w:hAnsi="Arial"/>
                <w:sz w:val="18"/>
                <w:lang w:val="en-GB"/>
              </w:rPr>
              <w:t>Earnings per share [€]</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0</w:t>
            </w:r>
            <w:r>
              <w:rPr>
                <w:rFonts w:ascii="Arial" w:hAnsi="Arial" w:cs="Arial"/>
                <w:sz w:val="18"/>
                <w:szCs w:val="18"/>
                <w:lang w:val="en-US"/>
              </w:rPr>
              <w:t>.</w:t>
            </w:r>
            <w:r w:rsidRPr="00B260C6">
              <w:rPr>
                <w:rFonts w:ascii="Arial" w:hAnsi="Arial" w:cs="Arial"/>
                <w:sz w:val="18"/>
                <w:szCs w:val="18"/>
                <w:lang w:val="en-US"/>
              </w:rPr>
              <w:t>96</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0</w:t>
            </w:r>
            <w:r>
              <w:rPr>
                <w:rFonts w:ascii="Arial" w:hAnsi="Arial" w:cs="Arial"/>
                <w:sz w:val="18"/>
                <w:szCs w:val="18"/>
                <w:lang w:val="en-US"/>
              </w:rPr>
              <w:t>.</w:t>
            </w:r>
            <w:r w:rsidRPr="00B260C6">
              <w:rPr>
                <w:rFonts w:ascii="Arial" w:hAnsi="Arial" w:cs="Arial"/>
                <w:sz w:val="18"/>
                <w:szCs w:val="18"/>
                <w:lang w:val="en-US"/>
              </w:rPr>
              <w:t>69</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39</w:t>
            </w:r>
            <w:r>
              <w:rPr>
                <w:rFonts w:ascii="Arial" w:hAnsi="Arial" w:cs="Arial"/>
                <w:sz w:val="18"/>
                <w:szCs w:val="18"/>
                <w:lang w:val="en-US"/>
              </w:rPr>
              <w:t>.</w:t>
            </w:r>
            <w:r w:rsidRPr="00B260C6">
              <w:rPr>
                <w:rFonts w:ascii="Arial" w:hAnsi="Arial" w:cs="Arial"/>
                <w:sz w:val="18"/>
                <w:szCs w:val="18"/>
                <w:lang w:val="en-US"/>
              </w:rPr>
              <w:t>1 %</w:t>
            </w:r>
          </w:p>
        </w:tc>
      </w:tr>
      <w:tr w:rsidR="00B260C6" w:rsidRPr="00B260C6" w:rsidTr="00B8338C">
        <w:trPr>
          <w:trHeight w:hRule="exact" w:val="284"/>
        </w:trPr>
        <w:tc>
          <w:tcPr>
            <w:tcW w:w="4077" w:type="dxa"/>
            <w:vAlign w:val="center"/>
          </w:tcPr>
          <w:p w:rsidR="00B260C6" w:rsidRPr="008203D4" w:rsidRDefault="00B260C6" w:rsidP="007F08F8">
            <w:pPr>
              <w:tabs>
                <w:tab w:val="left" w:pos="8505"/>
              </w:tabs>
              <w:rPr>
                <w:lang w:val="en-US"/>
              </w:rPr>
            </w:pPr>
            <w:r w:rsidRPr="007F08F8">
              <w:rPr>
                <w:rFonts w:ascii="Arial" w:hAnsi="Arial"/>
                <w:sz w:val="18"/>
                <w:lang w:val="en-GB"/>
              </w:rPr>
              <w:t>Employees [as at 31 March]</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64</w:t>
            </w:r>
            <w:r>
              <w:rPr>
                <w:rFonts w:ascii="Arial" w:hAnsi="Arial" w:cs="Arial"/>
                <w:sz w:val="18"/>
                <w:szCs w:val="18"/>
                <w:lang w:val="en-US"/>
              </w:rPr>
              <w:t>,</w:t>
            </w:r>
            <w:r w:rsidRPr="00B260C6">
              <w:rPr>
                <w:rFonts w:ascii="Arial" w:hAnsi="Arial" w:cs="Arial"/>
                <w:sz w:val="18"/>
                <w:szCs w:val="18"/>
                <w:lang w:val="en-US"/>
              </w:rPr>
              <w:t>071</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59</w:t>
            </w:r>
            <w:r>
              <w:rPr>
                <w:rFonts w:ascii="Arial" w:hAnsi="Arial" w:cs="Arial"/>
                <w:sz w:val="18"/>
                <w:szCs w:val="18"/>
                <w:lang w:val="en-US"/>
              </w:rPr>
              <w:t>,</w:t>
            </w:r>
            <w:r w:rsidRPr="00B260C6">
              <w:rPr>
                <w:rFonts w:ascii="Arial" w:hAnsi="Arial" w:cs="Arial"/>
                <w:sz w:val="18"/>
                <w:szCs w:val="18"/>
                <w:lang w:val="en-US"/>
              </w:rPr>
              <w:t>884</w:t>
            </w:r>
          </w:p>
        </w:tc>
        <w:tc>
          <w:tcPr>
            <w:tcW w:w="1276" w:type="dxa"/>
            <w:vAlign w:val="center"/>
          </w:tcPr>
          <w:p w:rsidR="00B260C6" w:rsidRPr="00B260C6" w:rsidRDefault="00B260C6" w:rsidP="00B260C6">
            <w:pPr>
              <w:tabs>
                <w:tab w:val="left" w:pos="8505"/>
              </w:tabs>
              <w:rPr>
                <w:rFonts w:ascii="Arial" w:hAnsi="Arial" w:cs="Arial"/>
                <w:sz w:val="18"/>
                <w:szCs w:val="18"/>
                <w:lang w:val="en-US"/>
              </w:rPr>
            </w:pPr>
            <w:r w:rsidRPr="00B260C6">
              <w:rPr>
                <w:rFonts w:ascii="Arial" w:hAnsi="Arial" w:cs="Arial"/>
                <w:sz w:val="18"/>
                <w:szCs w:val="18"/>
                <w:lang w:val="en-US"/>
              </w:rPr>
              <w:t>7</w:t>
            </w:r>
            <w:r>
              <w:rPr>
                <w:rFonts w:ascii="Arial" w:hAnsi="Arial" w:cs="Arial"/>
                <w:sz w:val="18"/>
                <w:szCs w:val="18"/>
                <w:lang w:val="en-US"/>
              </w:rPr>
              <w:t>.</w:t>
            </w:r>
            <w:r w:rsidRPr="00B260C6">
              <w:rPr>
                <w:rFonts w:ascii="Arial" w:hAnsi="Arial" w:cs="Arial"/>
                <w:sz w:val="18"/>
                <w:szCs w:val="18"/>
                <w:lang w:val="en-US"/>
              </w:rPr>
              <w:t>0 %</w:t>
            </w:r>
          </w:p>
        </w:tc>
      </w:tr>
    </w:tbl>
    <w:p w:rsidR="007F08F8" w:rsidRPr="007F08F8" w:rsidRDefault="007F08F8" w:rsidP="006366F6">
      <w:pPr>
        <w:autoSpaceDE w:val="0"/>
        <w:autoSpaceDN w:val="0"/>
        <w:adjustRightInd w:val="0"/>
        <w:spacing w:line="240" w:lineRule="auto"/>
        <w:ind w:right="860"/>
        <w:rPr>
          <w:rFonts w:ascii="Arial" w:hAnsi="Arial"/>
          <w:lang w:val="en-US"/>
        </w:rPr>
      </w:pPr>
      <w:r>
        <w:rPr>
          <w:rFonts w:ascii="Arial" w:hAnsi="Arial"/>
          <w:i/>
          <w:sz w:val="16"/>
          <w:highlight w:val="green"/>
          <w:lang w:val="en-GB"/>
        </w:rPr>
        <w:br/>
      </w:r>
      <w:r w:rsidRPr="008D4891">
        <w:rPr>
          <w:rFonts w:ascii="Arial" w:hAnsi="Arial"/>
          <w:i/>
          <w:sz w:val="16"/>
          <w:lang w:val="en-GB"/>
        </w:rPr>
        <w:t xml:space="preserve">* Earnings adjusted for the impact of revaluation as part of allocating the prices of major acquisitions, restructuring, </w:t>
      </w:r>
      <w:proofErr w:type="gramStart"/>
      <w:r w:rsidRPr="008D4891">
        <w:rPr>
          <w:rFonts w:ascii="Arial" w:hAnsi="Arial"/>
          <w:i/>
          <w:sz w:val="16"/>
          <w:lang w:val="en-GB"/>
        </w:rPr>
        <w:t>impairment</w:t>
      </w:r>
      <w:proofErr w:type="gramEnd"/>
      <w:r w:rsidRPr="008D4891">
        <w:rPr>
          <w:rFonts w:ascii="Arial" w:hAnsi="Arial"/>
          <w:i/>
          <w:sz w:val="16"/>
          <w:lang w:val="en-GB"/>
        </w:rPr>
        <w:t xml:space="preserve"> of non-current assets, gains on business disposals and </w:t>
      </w:r>
      <w:r w:rsidR="000209BC">
        <w:rPr>
          <w:rFonts w:ascii="Arial" w:hAnsi="Arial"/>
          <w:i/>
          <w:sz w:val="16"/>
          <w:lang w:val="en-GB"/>
        </w:rPr>
        <w:t xml:space="preserve">on business </w:t>
      </w:r>
      <w:r w:rsidRPr="008D4891">
        <w:rPr>
          <w:rFonts w:ascii="Arial" w:hAnsi="Arial"/>
          <w:i/>
          <w:sz w:val="16"/>
          <w:lang w:val="en-GB"/>
        </w:rPr>
        <w:t>combinations including related derivatives</w:t>
      </w:r>
      <w:r w:rsidR="000209BC">
        <w:rPr>
          <w:rFonts w:ascii="Arial" w:hAnsi="Arial"/>
          <w:i/>
          <w:sz w:val="16"/>
          <w:lang w:val="en-US"/>
        </w:rPr>
        <w:t>.</w:t>
      </w:r>
    </w:p>
    <w:p w:rsidR="0098775F" w:rsidRDefault="0098775F" w:rsidP="00B8338C">
      <w:pPr>
        <w:spacing w:before="240" w:line="240" w:lineRule="auto"/>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A435CF">
        <w:rPr>
          <w:rFonts w:ascii="Arial" w:hAnsi="Arial"/>
          <w:i/>
          <w:sz w:val="21"/>
          <w:lang w:val="en-GB"/>
        </w:rPr>
        <w:t>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E26F48">
        <w:rPr>
          <w:rFonts w:ascii="Arial" w:hAnsi="Arial"/>
          <w:i/>
          <w:sz w:val="21"/>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proofErr w:type="gramStart"/>
      <w:r w:rsidR="00E26F48" w:rsidRPr="002C049D">
        <w:rPr>
          <w:rFonts w:ascii="Arial" w:hAnsi="Arial"/>
          <w:i/>
          <w:sz w:val="21"/>
          <w:lang w:val="en-GB"/>
        </w:rPr>
        <w:t>The</w:t>
      </w:r>
      <w:proofErr w:type="gramEnd"/>
      <w:r w:rsidR="00E26F48" w:rsidRPr="002C049D">
        <w:rPr>
          <w:rFonts w:ascii="Arial" w:hAnsi="Arial"/>
          <w:i/>
          <w:sz w:val="21"/>
          <w:lang w:val="en-GB"/>
        </w:rPr>
        <w:t xml:space="preserve"> complete </w:t>
      </w:r>
      <w:r w:rsidR="007F08F8">
        <w:rPr>
          <w:rFonts w:ascii="Arial" w:hAnsi="Arial"/>
          <w:i/>
          <w:sz w:val="21"/>
          <w:lang w:val="en-GB"/>
        </w:rPr>
        <w:t>quarterly</w:t>
      </w:r>
      <w:r w:rsidR="00B8338C">
        <w:rPr>
          <w:rFonts w:ascii="Arial" w:hAnsi="Arial"/>
          <w:i/>
          <w:sz w:val="21"/>
          <w:lang w:val="en-GB"/>
        </w:rPr>
        <w:t xml:space="preserve"> </w:t>
      </w:r>
      <w:r w:rsidR="00E26F48" w:rsidRPr="002C049D">
        <w:rPr>
          <w:rFonts w:ascii="Arial" w:hAnsi="Arial"/>
          <w:i/>
          <w:sz w:val="21"/>
          <w:lang w:val="en-GB"/>
        </w:rPr>
        <w:t xml:space="preserve">report can be </w:t>
      </w:r>
      <w:r w:rsidR="00082230">
        <w:rPr>
          <w:rFonts w:ascii="Arial" w:hAnsi="Arial"/>
          <w:i/>
          <w:sz w:val="21"/>
          <w:lang w:val="en-GB"/>
        </w:rPr>
        <w:t>foun</w:t>
      </w:r>
      <w:r w:rsidR="00E26F48" w:rsidRPr="002C049D">
        <w:rPr>
          <w:rFonts w:ascii="Arial" w:hAnsi="Arial"/>
          <w:i/>
          <w:sz w:val="21"/>
          <w:lang w:val="en-GB"/>
        </w:rPr>
        <w:t>d</w:t>
      </w:r>
      <w:r w:rsidR="00082230">
        <w:rPr>
          <w:rFonts w:ascii="Arial" w:hAnsi="Arial"/>
          <w:i/>
          <w:sz w:val="21"/>
          <w:lang w:val="en-GB"/>
        </w:rPr>
        <w:t xml:space="preserve"> at </w:t>
      </w:r>
      <w:hyperlink r:id="rId9" w:history="1">
        <w:r w:rsidR="00B260C6" w:rsidRPr="006E3B08">
          <w:rPr>
            <w:rStyle w:val="Hyperlink"/>
            <w:rFonts w:ascii="Arial" w:hAnsi="Arial"/>
            <w:i/>
            <w:sz w:val="21"/>
            <w:lang w:val="en-GB"/>
          </w:rPr>
          <w:t>www.leoni.com/?q1-2014&amp;L=1</w:t>
        </w:r>
      </w:hyperlink>
    </w:p>
    <w:p w:rsidR="0098775F" w:rsidRPr="00C85271" w:rsidRDefault="0098775F">
      <w:pPr>
        <w:pStyle w:val="MMKurzprofilberschrift"/>
        <w:rPr>
          <w:rFonts w:cs="Times New Roman"/>
          <w:szCs w:val="24"/>
          <w:lang w:val="en-GB"/>
        </w:rPr>
      </w:pPr>
      <w:r w:rsidRPr="00C85271">
        <w:rPr>
          <w:rFonts w:cs="Times New Roman"/>
          <w:szCs w:val="24"/>
          <w:lang w:val="en-GB"/>
        </w:rPr>
        <w:t>About the Leoni Group</w:t>
      </w:r>
    </w:p>
    <w:p w:rsidR="004044A6" w:rsidRDefault="00AC5497" w:rsidP="004044A6">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0209BC">
        <w:rPr>
          <w:lang w:val="en-GB"/>
        </w:rPr>
        <w:t>about</w:t>
      </w:r>
      <w:r w:rsidR="00725A31">
        <w:rPr>
          <w:lang w:val="en-GB"/>
        </w:rPr>
        <w:t xml:space="preserve"> 6</w:t>
      </w:r>
      <w:r w:rsidR="00B260C6">
        <w:rPr>
          <w:lang w:val="en-GB"/>
        </w:rPr>
        <w:t>4</w:t>
      </w:r>
      <w:r w:rsidRPr="00C85271">
        <w:rPr>
          <w:lang w:val="en-GB"/>
        </w:rPr>
        <w:t>,000 people in 3</w:t>
      </w:r>
      <w:r w:rsidR="00B260C6">
        <w:rPr>
          <w:lang w:val="en-GB"/>
        </w:rPr>
        <w:t>3</w:t>
      </w:r>
      <w:r w:rsidRPr="00C85271">
        <w:rPr>
          <w:lang w:val="en-GB"/>
        </w:rPr>
        <w:t xml:space="preserve"> countries and generated consolidated sales of </w:t>
      </w:r>
      <w:r w:rsidRPr="00B572CD">
        <w:rPr>
          <w:lang w:val="en-US"/>
        </w:rPr>
        <w:t xml:space="preserve">EUR </w:t>
      </w:r>
      <w:r w:rsidR="00B572CD" w:rsidRPr="00B572CD">
        <w:rPr>
          <w:lang w:val="en-US"/>
        </w:rPr>
        <w:t>3.</w:t>
      </w:r>
      <w:r w:rsidR="00B260C6">
        <w:rPr>
          <w:lang w:val="en-US"/>
        </w:rPr>
        <w:t>92</w:t>
      </w:r>
      <w:r w:rsidRPr="00B572CD">
        <w:rPr>
          <w:lang w:val="en-US"/>
        </w:rPr>
        <w:t xml:space="preserve"> billion in 201</w:t>
      </w:r>
      <w:r w:rsidR="00B260C6">
        <w:rPr>
          <w:lang w:val="en-US"/>
        </w:rPr>
        <w:t>3</w:t>
      </w:r>
      <w:r w:rsidR="008F37D5">
        <w:rPr>
          <w:lang w:val="en-US"/>
        </w:rPr>
        <w:t>.</w:t>
      </w:r>
    </w:p>
    <w:p w:rsidR="004044A6" w:rsidRPr="006366F6" w:rsidRDefault="004044A6" w:rsidP="004044A6">
      <w:pPr>
        <w:pStyle w:val="MMKurzprofil"/>
        <w:rPr>
          <w:sz w:val="8"/>
          <w:szCs w:val="8"/>
          <w:lang w:val="en-GB"/>
        </w:rPr>
      </w:pPr>
    </w:p>
    <w:p w:rsidR="004044A6" w:rsidRPr="004044A6" w:rsidRDefault="004C11CE" w:rsidP="004044A6">
      <w:pPr>
        <w:pStyle w:val="MMKurzprofil"/>
        <w:rPr>
          <w:lang w:val="en-US"/>
        </w:rPr>
      </w:pPr>
      <w:hyperlink r:id="rId10" w:tgtFrame="_blank" w:history="1">
        <w:r w:rsidR="00FA5C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rsidR="00FA5C95">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D4" w:rsidRDefault="008203D4">
      <w:pPr>
        <w:rPr>
          <w:sz w:val="16"/>
        </w:rPr>
      </w:pPr>
      <w:r>
        <w:separator/>
      </w:r>
    </w:p>
  </w:endnote>
  <w:endnote w:type="continuationSeparator" w:id="0">
    <w:p w:rsidR="008203D4" w:rsidRDefault="008203D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11CE">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C11CE">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203D4" w:rsidRDefault="008203D4">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203D4" w:rsidRDefault="008203D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203D4" w:rsidRDefault="008203D4">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203D4" w:rsidRDefault="008203D4">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203D4" w:rsidRDefault="008203D4">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203D4" w:rsidRDefault="008203D4">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D4" w:rsidRDefault="008203D4">
      <w:pPr>
        <w:rPr>
          <w:sz w:val="16"/>
        </w:rPr>
      </w:pPr>
      <w:r>
        <w:separator/>
      </w:r>
    </w:p>
  </w:footnote>
  <w:footnote w:type="continuationSeparator" w:id="0">
    <w:p w:rsidR="008203D4" w:rsidRDefault="008203D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Pr="00F17738" w:rsidRDefault="008203D4" w:rsidP="00F65C50">
    <w:pPr>
      <w:pStyle w:val="Kopfzeile"/>
      <w:tabs>
        <w:tab w:val="clear" w:pos="9072"/>
        <w:tab w:val="right" w:pos="9639"/>
      </w:tabs>
      <w:spacing w:after="0" w:line="240" w:lineRule="auto"/>
      <w:rPr>
        <w:rFonts w:ascii="Verdana" w:hAnsi="Verdana"/>
        <w:sz w:val="20"/>
      </w:rPr>
    </w:pPr>
  </w:p>
  <w:p w:rsidR="008203D4" w:rsidRDefault="008203D4" w:rsidP="00F65C50">
    <w:pPr>
      <w:pStyle w:val="Kopfzeile"/>
      <w:tabs>
        <w:tab w:val="clear" w:pos="9072"/>
        <w:tab w:val="right" w:pos="9639"/>
      </w:tabs>
      <w:spacing w:after="0" w:line="240" w:lineRule="auto"/>
      <w:rPr>
        <w:rFonts w:ascii="Verdana" w:hAnsi="Verdana"/>
        <w:sz w:val="20"/>
      </w:rPr>
    </w:pPr>
  </w:p>
  <w:p w:rsidR="008203D4" w:rsidRPr="00F17738" w:rsidRDefault="004C11CE"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203D4" w:rsidRDefault="008203D4" w:rsidP="00F65C50">
    <w:pPr>
      <w:spacing w:before="60" w:after="0" w:line="360" w:lineRule="auto"/>
      <w:ind w:right="1429"/>
      <w:rPr>
        <w:rFonts w:ascii="Arial" w:hAnsi="Arial" w:cs="Arial"/>
        <w:b/>
        <w:sz w:val="20"/>
        <w:szCs w:val="20"/>
      </w:rPr>
    </w:pPr>
  </w:p>
  <w:p w:rsidR="008203D4" w:rsidRDefault="008203D4"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203D4" w:rsidRDefault="008203D4">
    <w:pPr>
      <w:pStyle w:val="Kopfzeile"/>
      <w:tabs>
        <w:tab w:val="clear" w:pos="9072"/>
        <w:tab w:val="right" w:pos="9639"/>
      </w:tabs>
      <w:rPr>
        <w:rFonts w:ascii="Verdana" w:hAnsi="Verdana"/>
        <w:sz w:val="20"/>
      </w:rPr>
    </w:pPr>
  </w:p>
  <w:p w:rsidR="008203D4" w:rsidRDefault="008203D4">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4C11CE">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p w:rsidR="008203D4" w:rsidRDefault="008203D4">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2936"/>
    <w:rsid w:val="000079E4"/>
    <w:rsid w:val="00013A64"/>
    <w:rsid w:val="000209BC"/>
    <w:rsid w:val="0002408F"/>
    <w:rsid w:val="000255DA"/>
    <w:rsid w:val="00033C4D"/>
    <w:rsid w:val="00041290"/>
    <w:rsid w:val="0004329A"/>
    <w:rsid w:val="000453F9"/>
    <w:rsid w:val="00082230"/>
    <w:rsid w:val="000A0822"/>
    <w:rsid w:val="000A32BC"/>
    <w:rsid w:val="000A7B89"/>
    <w:rsid w:val="000B3BF8"/>
    <w:rsid w:val="000B5865"/>
    <w:rsid w:val="000C02B1"/>
    <w:rsid w:val="000D0C90"/>
    <w:rsid w:val="000E6946"/>
    <w:rsid w:val="000F1C62"/>
    <w:rsid w:val="000F2DC6"/>
    <w:rsid w:val="000F65EE"/>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E1F50"/>
    <w:rsid w:val="003118F1"/>
    <w:rsid w:val="00361CF2"/>
    <w:rsid w:val="00362050"/>
    <w:rsid w:val="00364DCD"/>
    <w:rsid w:val="00382198"/>
    <w:rsid w:val="00397AC4"/>
    <w:rsid w:val="003A240E"/>
    <w:rsid w:val="003B0FC5"/>
    <w:rsid w:val="003C6AAE"/>
    <w:rsid w:val="003D2799"/>
    <w:rsid w:val="003E43B4"/>
    <w:rsid w:val="003E4B96"/>
    <w:rsid w:val="003E6B83"/>
    <w:rsid w:val="00404468"/>
    <w:rsid w:val="004044A6"/>
    <w:rsid w:val="004121DA"/>
    <w:rsid w:val="00424182"/>
    <w:rsid w:val="00432245"/>
    <w:rsid w:val="00441963"/>
    <w:rsid w:val="00452CF6"/>
    <w:rsid w:val="004547BF"/>
    <w:rsid w:val="00473340"/>
    <w:rsid w:val="00473E7D"/>
    <w:rsid w:val="004746ED"/>
    <w:rsid w:val="004822A8"/>
    <w:rsid w:val="004826F0"/>
    <w:rsid w:val="00492E67"/>
    <w:rsid w:val="004A0D77"/>
    <w:rsid w:val="004A1653"/>
    <w:rsid w:val="004A457B"/>
    <w:rsid w:val="004B0623"/>
    <w:rsid w:val="004B3DB8"/>
    <w:rsid w:val="004B4CC2"/>
    <w:rsid w:val="004C11CE"/>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366F6"/>
    <w:rsid w:val="006457CF"/>
    <w:rsid w:val="00654989"/>
    <w:rsid w:val="00663C2A"/>
    <w:rsid w:val="00683EF3"/>
    <w:rsid w:val="006A76CA"/>
    <w:rsid w:val="006C5546"/>
    <w:rsid w:val="006C5962"/>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08F8"/>
    <w:rsid w:val="007F3212"/>
    <w:rsid w:val="007F68CF"/>
    <w:rsid w:val="00803041"/>
    <w:rsid w:val="008045E1"/>
    <w:rsid w:val="008203D4"/>
    <w:rsid w:val="00821BA4"/>
    <w:rsid w:val="00827B83"/>
    <w:rsid w:val="0083522C"/>
    <w:rsid w:val="008446CD"/>
    <w:rsid w:val="008920B0"/>
    <w:rsid w:val="008950C7"/>
    <w:rsid w:val="008A0985"/>
    <w:rsid w:val="008A1C0B"/>
    <w:rsid w:val="008A3A81"/>
    <w:rsid w:val="008B6597"/>
    <w:rsid w:val="008D26BA"/>
    <w:rsid w:val="008D4891"/>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435CF"/>
    <w:rsid w:val="00A54DDA"/>
    <w:rsid w:val="00A6060D"/>
    <w:rsid w:val="00A66992"/>
    <w:rsid w:val="00A708D7"/>
    <w:rsid w:val="00A7468A"/>
    <w:rsid w:val="00A76415"/>
    <w:rsid w:val="00AA16D7"/>
    <w:rsid w:val="00AA2526"/>
    <w:rsid w:val="00AA2A8D"/>
    <w:rsid w:val="00AB4893"/>
    <w:rsid w:val="00AC2AE0"/>
    <w:rsid w:val="00AC5497"/>
    <w:rsid w:val="00AC7A23"/>
    <w:rsid w:val="00AD3E26"/>
    <w:rsid w:val="00AD4A54"/>
    <w:rsid w:val="00AE31C1"/>
    <w:rsid w:val="00AE43B7"/>
    <w:rsid w:val="00AF0A61"/>
    <w:rsid w:val="00B1340F"/>
    <w:rsid w:val="00B139E4"/>
    <w:rsid w:val="00B24E61"/>
    <w:rsid w:val="00B260C6"/>
    <w:rsid w:val="00B2763A"/>
    <w:rsid w:val="00B3540F"/>
    <w:rsid w:val="00B3611C"/>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135F"/>
    <w:rsid w:val="00BD22AC"/>
    <w:rsid w:val="00BD2643"/>
    <w:rsid w:val="00BD26C1"/>
    <w:rsid w:val="00BD4058"/>
    <w:rsid w:val="00BD6804"/>
    <w:rsid w:val="00BF5681"/>
    <w:rsid w:val="00BF7DEC"/>
    <w:rsid w:val="00C03D20"/>
    <w:rsid w:val="00C07BB6"/>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A6563"/>
    <w:rsid w:val="00EB09C0"/>
    <w:rsid w:val="00EB5A8C"/>
    <w:rsid w:val="00EB717D"/>
    <w:rsid w:val="00EC0A0C"/>
    <w:rsid w:val="00EC0E74"/>
    <w:rsid w:val="00EC6520"/>
    <w:rsid w:val="00ED1040"/>
    <w:rsid w:val="00ED47BD"/>
    <w:rsid w:val="00EE3329"/>
    <w:rsid w:val="00EE7541"/>
    <w:rsid w:val="00EF2DA5"/>
    <w:rsid w:val="00F21EA0"/>
    <w:rsid w:val="00F230E1"/>
    <w:rsid w:val="00F37865"/>
    <w:rsid w:val="00F55CB1"/>
    <w:rsid w:val="00F65C50"/>
    <w:rsid w:val="00F67138"/>
    <w:rsid w:val="00F737A1"/>
    <w:rsid w:val="00F73C92"/>
    <w:rsid w:val="00F77219"/>
    <w:rsid w:val="00F80249"/>
    <w:rsid w:val="00F851F7"/>
    <w:rsid w:val="00F90257"/>
    <w:rsid w:val="00F91FB0"/>
    <w:rsid w:val="00F955C9"/>
    <w:rsid w:val="00FA0E12"/>
    <w:rsid w:val="00FA5C95"/>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uiPriority w:val="99"/>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uiPriority w:val="99"/>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uiPriority w:val="99"/>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uiPriority w:val="99"/>
    <w:qFormat/>
    <w:rsid w:val="00B260C6"/>
    <w:pPr>
      <w:tabs>
        <w:tab w:val="left" w:pos="8505"/>
      </w:tabs>
      <w:spacing w:after="0" w:line="360" w:lineRule="auto"/>
      <w:ind w:right="1922"/>
    </w:pPr>
    <w:rPr>
      <w:rFonts w:ascii="Arial" w:hAnsi="Arial"/>
      <w:b/>
      <w:spacing w:val="-4"/>
      <w:szCs w:val="2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q1-2014&amp;L=1"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6455</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2014-05-12T07:15:00Z</cp:lastPrinted>
  <dcterms:created xsi:type="dcterms:W3CDTF">2014-05-12T07:13:00Z</dcterms:created>
  <dcterms:modified xsi:type="dcterms:W3CDTF">2014-05-12T07:17:00Z</dcterms:modified>
</cp:coreProperties>
</file>