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26" w:rsidRDefault="00404C26" w:rsidP="00404C26">
      <w:pPr>
        <w:pStyle w:val="MMU1"/>
        <w:rPr>
          <w:bCs w:val="0"/>
          <w:szCs w:val="24"/>
          <w:lang w:val="en-GB"/>
        </w:rPr>
      </w:pPr>
      <w:r>
        <w:rPr>
          <w:bCs w:val="0"/>
          <w:szCs w:val="24"/>
          <w:lang w:val="en-GB"/>
        </w:rPr>
        <w:t>Leoni boosts its sales to over EUR 2 billion in the first half of 2014</w:t>
      </w:r>
    </w:p>
    <w:p w:rsidR="00404C26" w:rsidRPr="000746A6" w:rsidRDefault="00404C26" w:rsidP="00404C26">
      <w:pPr>
        <w:pStyle w:val="MMU2"/>
        <w:rPr>
          <w:rFonts w:cs="Times New Roman"/>
          <w:lang w:val="en-US"/>
        </w:rPr>
      </w:pPr>
      <w:r w:rsidRPr="000746A6">
        <w:rPr>
          <w:rFonts w:cs="Times New Roman"/>
          <w:lang w:val="en-US"/>
        </w:rPr>
        <w:t xml:space="preserve">Consolidated earnings up by more than a quarter despite heavy pre-production expenses </w:t>
      </w:r>
    </w:p>
    <w:p w:rsidR="00404C26" w:rsidRDefault="00404C26" w:rsidP="00404C26">
      <w:pPr>
        <w:pStyle w:val="MMVorspann"/>
        <w:rPr>
          <w:rFonts w:cs="Times New Roman"/>
          <w:bCs w:val="0"/>
          <w:szCs w:val="24"/>
          <w:lang w:val="en-GB"/>
        </w:rPr>
      </w:pPr>
      <w:r w:rsidRPr="000746A6">
        <w:rPr>
          <w:rFonts w:cs="Times New Roman"/>
          <w:bCs w:val="0"/>
          <w:szCs w:val="24"/>
          <w:lang w:val="en-US"/>
        </w:rPr>
        <w:t xml:space="preserve">Nuremberg, 12 August 2014 – Leoni AG increased its consolidated sales by 3.5 percent year on year to EUR 2,039.6 million in the first six months of 2014 (previous year: EUR 1,970.0 million) and thereby topped the 2 billion euro threshold at the half-year mark for the first time. </w:t>
      </w:r>
      <w:r>
        <w:rPr>
          <w:rFonts w:cs="Times New Roman"/>
          <w:bCs w:val="0"/>
          <w:szCs w:val="24"/>
          <w:lang w:val="en-GB"/>
        </w:rPr>
        <w:t xml:space="preserve">The business of Europe's leading provider of cables and cable systems to the automotive sector and other industries increased in the second quarter by about 1 percent year on year to EUR 1,019.4 million (previous year: EUR 1,011.0 million). The still heavy, worldwide demand for cables and wiring systems from the automotive sector was the basis for this good business performance. Leoni also received positive impetus from the economic recovery in Europe, which led to a revival of demand in many of its industrial customer sectors. </w:t>
      </w:r>
    </w:p>
    <w:p w:rsidR="00404C26" w:rsidRDefault="00404C26" w:rsidP="00404C26">
      <w:pPr>
        <w:pStyle w:val="MMFlietext"/>
        <w:rPr>
          <w:rFonts w:cs="Times New Roman"/>
          <w:szCs w:val="24"/>
          <w:lang w:val="en-GB"/>
        </w:rPr>
      </w:pPr>
      <w:r>
        <w:rPr>
          <w:rFonts w:cs="Times New Roman"/>
          <w:szCs w:val="24"/>
          <w:lang w:val="en-GB"/>
        </w:rPr>
        <w:t xml:space="preserve">Consolidated earnings before and interest and taxes (EBIT) rose by about 26 percent to EUR 97.9 million over the whole of the first half of 2014 (previous year: EUR 77.8 million), </w:t>
      </w:r>
      <w:r w:rsidRPr="000746A6">
        <w:rPr>
          <w:rFonts w:cs="Times New Roman"/>
          <w:szCs w:val="24"/>
          <w:lang w:val="en-US"/>
        </w:rPr>
        <w:t xml:space="preserve">of which the second quarter accounted for EUR 47.3 million (previous year: EUR 39.3 million). The Company absorbed extensive pre-production spending on new projects with the automotive industry during the period under report. The previous year's figures, on the other hand, included substantial restructuring expenses for measures that benefited earnings in 2014. </w:t>
      </w:r>
      <w:r>
        <w:rPr>
          <w:rFonts w:cs="Times New Roman"/>
          <w:szCs w:val="24"/>
          <w:lang w:val="en-GB"/>
        </w:rPr>
        <w:t xml:space="preserve">Consolidated income after taxes increased by over 33 percent to EUR 61.4 million in the first half (previous year: EUR 46.1 million). </w:t>
      </w:r>
    </w:p>
    <w:p w:rsidR="00404C26" w:rsidRPr="000746A6" w:rsidRDefault="00404C26" w:rsidP="00404C26">
      <w:pPr>
        <w:pStyle w:val="MMZwischenberschrift"/>
        <w:rPr>
          <w:rFonts w:cs="Times New Roman"/>
          <w:szCs w:val="24"/>
          <w:lang w:val="en-US"/>
        </w:rPr>
      </w:pPr>
      <w:r w:rsidRPr="000746A6">
        <w:rPr>
          <w:rFonts w:cs="Times New Roman"/>
          <w:szCs w:val="24"/>
          <w:lang w:val="en-US"/>
        </w:rPr>
        <w:t>Workforce enlarged and capex increased</w:t>
      </w:r>
    </w:p>
    <w:p w:rsidR="00404C26" w:rsidRDefault="00404C26" w:rsidP="00404C26">
      <w:pPr>
        <w:pStyle w:val="MMFlietext"/>
        <w:rPr>
          <w:rFonts w:cs="Times New Roman"/>
          <w:szCs w:val="24"/>
          <w:lang w:val="en-GB"/>
        </w:rPr>
      </w:pPr>
      <w:r w:rsidRPr="000746A6">
        <w:rPr>
          <w:rFonts w:cs="Times New Roman"/>
          <w:szCs w:val="24"/>
          <w:lang w:val="en-US"/>
        </w:rPr>
        <w:t xml:space="preserve">The preparation for new project start-ups and the consistently heavy demand also resulted in Leoni recruiting more employees and significantly increasing its capital investment: group-wide, the number of employees rose by 3,980 to 65,571 people in the first half of 2014. </w:t>
      </w:r>
      <w:r>
        <w:rPr>
          <w:rFonts w:cs="Times New Roman"/>
          <w:szCs w:val="24"/>
          <w:lang w:val="en-GB"/>
        </w:rPr>
        <w:t xml:space="preserve">The recruitment took place above all in the Americas, Asia, North Africa and Eastern Europe, but the workforce in </w:t>
      </w:r>
      <w:r>
        <w:rPr>
          <w:rFonts w:cs="Times New Roman"/>
          <w:szCs w:val="24"/>
          <w:lang w:val="en-GB"/>
        </w:rPr>
        <w:lastRenderedPageBreak/>
        <w:t xml:space="preserve">Germany also grew to 4,274 staff (31 December 2013: 4,222). Capital expenditure was up by about 43 percent to EUR 89.2 million in the first six months of 2014 (previous year: EUR 62.5 million) and pertained mainly to the setting up and expansion of production capacity in China, Germany, Mexico and various eastern European countries. </w:t>
      </w:r>
    </w:p>
    <w:p w:rsidR="00404C26" w:rsidRPr="000746A6" w:rsidRDefault="00404C26" w:rsidP="00404C26">
      <w:pPr>
        <w:pStyle w:val="MMZwischenberschrift"/>
        <w:rPr>
          <w:rFonts w:cs="Times New Roman"/>
          <w:szCs w:val="24"/>
          <w:lang w:val="en-US"/>
        </w:rPr>
      </w:pPr>
      <w:r w:rsidRPr="000746A6">
        <w:rPr>
          <w:rFonts w:cs="Times New Roman"/>
          <w:szCs w:val="24"/>
          <w:lang w:val="en-US"/>
        </w:rPr>
        <w:t xml:space="preserve">Wiring Systems: expected charges due to project start-ups </w:t>
      </w:r>
    </w:p>
    <w:p w:rsidR="00404C26" w:rsidRDefault="00404C26" w:rsidP="00404C26">
      <w:pPr>
        <w:pStyle w:val="MMFlietext"/>
        <w:rPr>
          <w:rFonts w:cs="Times New Roman"/>
          <w:szCs w:val="24"/>
          <w:lang w:val="en-GB"/>
        </w:rPr>
      </w:pPr>
      <w:r>
        <w:rPr>
          <w:rFonts w:cs="Times New Roman"/>
          <w:szCs w:val="24"/>
          <w:lang w:val="en-GB"/>
        </w:rPr>
        <w:t xml:space="preserve">The Wiring Systems Division's sales of wiring systems and cable harnesses increased by about 2 percent to EUR 1,195.4 million in the first half of 2014 (previous year: EUR 1,175.4 million), of which the second quarter provided EUR 597.8 million (previous year: EUR 607.6 million). Sales to the international commercial vehicle and component supply industries were especially good. Truck manufacturers had more demand for complex engine cable harnesses because of stricter emission regulations in the EU and the United States. The amount of business with the export-heavyweight German car industry also grew. On the other hand, model changeovers among various other European carmakers resulted in the budgeted, temporary sales decreases. </w:t>
      </w:r>
    </w:p>
    <w:p w:rsidR="00404C26" w:rsidRDefault="002744E1" w:rsidP="00404C26">
      <w:pPr>
        <w:pStyle w:val="MMFlietext"/>
        <w:rPr>
          <w:rFonts w:cs="Times New Roman"/>
          <w:szCs w:val="24"/>
          <w:lang w:val="en-GB"/>
        </w:rPr>
      </w:pPr>
      <w:r>
        <w:rPr>
          <w:rFonts w:cs="Times New Roman"/>
          <w:szCs w:val="24"/>
          <w:lang w:val="en-US"/>
        </w:rPr>
        <w:t>T</w:t>
      </w:r>
      <w:r w:rsidR="00404C26" w:rsidRPr="000746A6">
        <w:rPr>
          <w:rFonts w:cs="Times New Roman"/>
          <w:szCs w:val="24"/>
          <w:lang w:val="en-US"/>
        </w:rPr>
        <w:t>he large number of new and follow-on orders from the motor vehicle industry led to extensive pro</w:t>
      </w:r>
      <w:r w:rsidR="00E87B66">
        <w:rPr>
          <w:rFonts w:cs="Times New Roman"/>
          <w:szCs w:val="24"/>
          <w:lang w:val="en-US"/>
        </w:rPr>
        <w:t>duction</w:t>
      </w:r>
      <w:r w:rsidR="00404C26" w:rsidRPr="000746A6">
        <w:rPr>
          <w:rFonts w:cs="Times New Roman"/>
          <w:szCs w:val="24"/>
          <w:lang w:val="en-US"/>
        </w:rPr>
        <w:t xml:space="preserve"> preparation work and start-ups, which weighed</w:t>
      </w:r>
      <w:r>
        <w:rPr>
          <w:rFonts w:cs="Times New Roman"/>
          <w:szCs w:val="24"/>
          <w:lang w:val="en-US"/>
        </w:rPr>
        <w:t>, a</w:t>
      </w:r>
      <w:r w:rsidRPr="000746A6">
        <w:rPr>
          <w:rFonts w:cs="Times New Roman"/>
          <w:szCs w:val="24"/>
          <w:lang w:val="en-US"/>
        </w:rPr>
        <w:t xml:space="preserve">s expected, </w:t>
      </w:r>
      <w:r w:rsidR="00404C26" w:rsidRPr="000746A6">
        <w:rPr>
          <w:rFonts w:cs="Times New Roman"/>
          <w:szCs w:val="24"/>
          <w:lang w:val="en-US"/>
        </w:rPr>
        <w:t xml:space="preserve">on the division's earnings: its EBIT came to EUR 26.3 million in the second quarter of 2014, down from EUR 34.6 million in the same period of 2013. </w:t>
      </w:r>
      <w:r w:rsidR="00404C26">
        <w:rPr>
          <w:rFonts w:cs="Times New Roman"/>
          <w:szCs w:val="24"/>
          <w:lang w:val="en-GB"/>
        </w:rPr>
        <w:t>Thanks to the strong performance in the first few months of this year, six-month EBIT remained virtually unchanged at EUR 58.0 million (previous year: EUR 58.9 million).</w:t>
      </w:r>
    </w:p>
    <w:p w:rsidR="00404C26" w:rsidRDefault="00404C26" w:rsidP="00404C26">
      <w:pPr>
        <w:pStyle w:val="MMFlietext"/>
        <w:rPr>
          <w:rFonts w:cs="Times New Roman"/>
          <w:szCs w:val="24"/>
          <w:lang w:val="en-GB"/>
        </w:rPr>
      </w:pPr>
      <w:r>
        <w:rPr>
          <w:rFonts w:cs="Times New Roman"/>
          <w:szCs w:val="24"/>
          <w:lang w:val="en-GB"/>
        </w:rPr>
        <w:t xml:space="preserve">Given the still well-filled order book, there will also be </w:t>
      </w:r>
      <w:r w:rsidR="00E87B66">
        <w:rPr>
          <w:rFonts w:cs="Times New Roman"/>
          <w:szCs w:val="24"/>
          <w:lang w:val="en-GB"/>
        </w:rPr>
        <w:t>further</w:t>
      </w:r>
      <w:r>
        <w:rPr>
          <w:rFonts w:cs="Times New Roman"/>
          <w:szCs w:val="24"/>
          <w:lang w:val="en-GB"/>
        </w:rPr>
        <w:t xml:space="preserve"> project start-ups in the second half of the year, especially so in Asia and the Americas.</w:t>
      </w:r>
    </w:p>
    <w:p w:rsidR="00404C26" w:rsidRPr="00E87B66" w:rsidRDefault="00404C26" w:rsidP="00404C26">
      <w:pPr>
        <w:pStyle w:val="MMZwischenberschrift"/>
        <w:rPr>
          <w:rFonts w:cs="Times New Roman"/>
          <w:spacing w:val="-1"/>
          <w:w w:val="99"/>
          <w:szCs w:val="24"/>
          <w:lang w:val="en-US"/>
        </w:rPr>
      </w:pPr>
      <w:r w:rsidRPr="00E87B66">
        <w:rPr>
          <w:rFonts w:cs="Times New Roman"/>
          <w:spacing w:val="-1"/>
          <w:w w:val="99"/>
          <w:szCs w:val="24"/>
          <w:lang w:val="en-US"/>
        </w:rPr>
        <w:t>Wire &amp; Cable Solutions: si</w:t>
      </w:r>
      <w:r w:rsidR="00E87B66" w:rsidRPr="00E87B66">
        <w:rPr>
          <w:rFonts w:cs="Times New Roman"/>
          <w:spacing w:val="-1"/>
          <w:w w:val="99"/>
          <w:szCs w:val="24"/>
          <w:lang w:val="en-US"/>
        </w:rPr>
        <w:t>gnificant earnings improvement i</w:t>
      </w:r>
      <w:r w:rsidRPr="00E87B66">
        <w:rPr>
          <w:rFonts w:cs="Times New Roman"/>
          <w:spacing w:val="-1"/>
          <w:w w:val="99"/>
          <w:szCs w:val="24"/>
          <w:lang w:val="en-US"/>
        </w:rPr>
        <w:t>n the 2</w:t>
      </w:r>
      <w:r w:rsidRPr="00E87B66">
        <w:rPr>
          <w:rFonts w:cs="Times New Roman"/>
          <w:spacing w:val="-1"/>
          <w:w w:val="99"/>
          <w:szCs w:val="24"/>
          <w:vertAlign w:val="superscript"/>
          <w:lang w:val="en-US"/>
        </w:rPr>
        <w:t xml:space="preserve">nd </w:t>
      </w:r>
      <w:r w:rsidRPr="00E87B66">
        <w:rPr>
          <w:rFonts w:cs="Times New Roman"/>
          <w:spacing w:val="-1"/>
          <w:w w:val="99"/>
          <w:szCs w:val="24"/>
          <w:lang w:val="en-US"/>
        </w:rPr>
        <w:t>quarter</w:t>
      </w:r>
    </w:p>
    <w:p w:rsidR="00404C26" w:rsidRDefault="00404C26" w:rsidP="00404C26">
      <w:pPr>
        <w:pStyle w:val="MMFlietext"/>
        <w:rPr>
          <w:rFonts w:cs="Times New Roman"/>
          <w:szCs w:val="24"/>
          <w:lang w:val="en-GB"/>
        </w:rPr>
      </w:pPr>
      <w:r>
        <w:rPr>
          <w:rFonts w:cs="Times New Roman"/>
          <w:szCs w:val="24"/>
          <w:lang w:val="en-GB"/>
        </w:rPr>
        <w:t xml:space="preserve">The Wire &amp; Cable Solutions Division increased its sales by 4.5 percent to EUR 421.6 million in the first quarter of 2014 (previous year: EUR 403.4 million) and by more than 6 percent to EUR 844.2 million over the whole of the first half (previous year: EUR 794.6 million). In the process, Leoni benefited from the consistently heavy, worldwide demand for standard and special automotive </w:t>
      </w:r>
      <w:r>
        <w:rPr>
          <w:rFonts w:cs="Times New Roman"/>
          <w:szCs w:val="24"/>
          <w:lang w:val="en-GB"/>
        </w:rPr>
        <w:lastRenderedPageBreak/>
        <w:t xml:space="preserve">cables as well as from the growing business with the medical technology industry and the Chinese solar sector. The new facility in India also made initial contributions. By contrast, there were delays involving major projects with the petrochemical industry. </w:t>
      </w:r>
    </w:p>
    <w:p w:rsidR="00404C26" w:rsidRDefault="00404C26" w:rsidP="00404C26">
      <w:pPr>
        <w:pStyle w:val="MMFlietext"/>
        <w:rPr>
          <w:rFonts w:cs="Times New Roman"/>
          <w:szCs w:val="24"/>
          <w:lang w:val="en-GB"/>
        </w:rPr>
      </w:pPr>
      <w:r>
        <w:rPr>
          <w:rFonts w:cs="Times New Roman"/>
          <w:szCs w:val="24"/>
          <w:lang w:val="en-GB"/>
        </w:rPr>
        <w:t xml:space="preserve">The division's earnings improved significantly. Alongside sales growth, this reflected the beneficial effect of the restructuring measures applied in the previous year, implementation of which had weighed heavily on the 2013 like-for-like figures: the division's EBIT rose to EUR 21.1 million in the second quarter of 2014 (previous year: EUR 4.7 million) and, in the six-month period, from EUR 18.8 million to EUR 39.9 million. </w:t>
      </w:r>
    </w:p>
    <w:p w:rsidR="00404C26" w:rsidRDefault="00404C26" w:rsidP="00404C26">
      <w:pPr>
        <w:pStyle w:val="MMFlietext"/>
        <w:rPr>
          <w:rFonts w:cs="Times New Roman"/>
          <w:szCs w:val="24"/>
          <w:lang w:val="en-GB"/>
        </w:rPr>
      </w:pPr>
      <w:r>
        <w:rPr>
          <w:rFonts w:cs="Times New Roman"/>
          <w:szCs w:val="24"/>
          <w:lang w:val="en-GB"/>
        </w:rPr>
        <w:t xml:space="preserve">Based on extensive new orders </w:t>
      </w:r>
      <w:r w:rsidR="00E87B66">
        <w:rPr>
          <w:rFonts w:cs="Times New Roman"/>
          <w:szCs w:val="24"/>
          <w:lang w:val="en-GB"/>
        </w:rPr>
        <w:t xml:space="preserve">mainly </w:t>
      </w:r>
      <w:r>
        <w:rPr>
          <w:rFonts w:cs="Times New Roman"/>
          <w:szCs w:val="24"/>
          <w:lang w:val="en-GB"/>
        </w:rPr>
        <w:t>from</w:t>
      </w:r>
      <w:r w:rsidR="00E87B66">
        <w:rPr>
          <w:rFonts w:cs="Times New Roman"/>
          <w:szCs w:val="24"/>
          <w:lang w:val="en-GB"/>
        </w:rPr>
        <w:t xml:space="preserve"> </w:t>
      </w:r>
      <w:r>
        <w:rPr>
          <w:rFonts w:cs="Times New Roman"/>
          <w:szCs w:val="24"/>
          <w:lang w:val="en-GB"/>
        </w:rPr>
        <w:t>automotive</w:t>
      </w:r>
      <w:r w:rsidR="00E87B66">
        <w:rPr>
          <w:rFonts w:cs="Times New Roman"/>
          <w:szCs w:val="24"/>
          <w:lang w:val="en-GB"/>
        </w:rPr>
        <w:t xml:space="preserve"> </w:t>
      </w:r>
      <w:r>
        <w:rPr>
          <w:rFonts w:cs="Times New Roman"/>
          <w:szCs w:val="24"/>
          <w:lang w:val="en-GB"/>
        </w:rPr>
        <w:t>industr</w:t>
      </w:r>
      <w:r w:rsidR="00E87B66">
        <w:rPr>
          <w:rFonts w:cs="Times New Roman"/>
          <w:szCs w:val="24"/>
          <w:lang w:val="en-GB"/>
        </w:rPr>
        <w:t>y</w:t>
      </w:r>
      <w:r>
        <w:rPr>
          <w:rFonts w:cs="Times New Roman"/>
          <w:szCs w:val="24"/>
          <w:lang w:val="en-GB"/>
        </w:rPr>
        <w:t xml:space="preserve">, the capacity of the Wire &amp; Cable Solutions Division will be further expanded in the second half of the year as well, particularly so in China and Mexico. </w:t>
      </w:r>
    </w:p>
    <w:p w:rsidR="00404C26" w:rsidRDefault="00404C26" w:rsidP="00404C26">
      <w:pPr>
        <w:pStyle w:val="MMZwischenberschrift"/>
        <w:rPr>
          <w:rFonts w:cs="Times New Roman"/>
          <w:szCs w:val="24"/>
          <w:lang w:val="en-GB"/>
        </w:rPr>
      </w:pPr>
      <w:r>
        <w:rPr>
          <w:rFonts w:cs="Times New Roman"/>
          <w:szCs w:val="24"/>
          <w:lang w:val="en-GB"/>
        </w:rPr>
        <w:t>Forecast for the year reaffirmed</w:t>
      </w:r>
    </w:p>
    <w:p w:rsidR="0065356D" w:rsidRPr="00F86DEB" w:rsidRDefault="00404C26" w:rsidP="00404C26">
      <w:pPr>
        <w:pStyle w:val="MMFlietext"/>
        <w:rPr>
          <w:lang w:val="en-GB"/>
        </w:rPr>
      </w:pPr>
      <w:r w:rsidRPr="000746A6">
        <w:rPr>
          <w:rFonts w:cs="Times New Roman"/>
          <w:szCs w:val="24"/>
          <w:lang w:val="en-US"/>
        </w:rPr>
        <w:t xml:space="preserve">Following the performance in line with expectations during the first six months, the Management Board reaffirms its forecast for the year as </w:t>
      </w:r>
      <w:r w:rsidRPr="002744E1">
        <w:rPr>
          <w:rFonts w:cs="Times New Roman"/>
          <w:szCs w:val="24"/>
          <w:lang w:val="en-US"/>
        </w:rPr>
        <w:t xml:space="preserve">a whole: </w:t>
      </w:r>
      <w:r w:rsidR="007B067E" w:rsidRPr="002744E1">
        <w:rPr>
          <w:rFonts w:cs="Times New Roman"/>
          <w:szCs w:val="24"/>
          <w:lang w:val="en-US"/>
        </w:rPr>
        <w:t xml:space="preserve">Assuming </w:t>
      </w:r>
      <w:r w:rsidR="00E87B66" w:rsidRPr="002744E1">
        <w:rPr>
          <w:rFonts w:cs="Times New Roman"/>
          <w:szCs w:val="24"/>
          <w:lang w:val="en-US"/>
        </w:rPr>
        <w:t xml:space="preserve">that </w:t>
      </w:r>
      <w:r w:rsidR="002744E1" w:rsidRPr="002744E1">
        <w:rPr>
          <w:rFonts w:cs="Times New Roman"/>
          <w:szCs w:val="24"/>
          <w:lang w:val="en-US"/>
        </w:rPr>
        <w:t>the current</w:t>
      </w:r>
      <w:r w:rsidR="00E87B66" w:rsidRPr="002744E1">
        <w:rPr>
          <w:rFonts w:cs="Times New Roman"/>
          <w:szCs w:val="24"/>
          <w:lang w:val="en-US"/>
        </w:rPr>
        <w:t xml:space="preserve"> geopolitical risks will </w:t>
      </w:r>
      <w:r w:rsidR="002744E1" w:rsidRPr="002744E1">
        <w:rPr>
          <w:rFonts w:cs="Times New Roman"/>
          <w:szCs w:val="24"/>
          <w:lang w:val="en-US"/>
        </w:rPr>
        <w:t xml:space="preserve">not have a stronger impact </w:t>
      </w:r>
      <w:r w:rsidR="007B067E" w:rsidRPr="002744E1">
        <w:rPr>
          <w:rFonts w:cs="Times New Roman"/>
          <w:szCs w:val="24"/>
          <w:lang w:val="en-US"/>
        </w:rPr>
        <w:t xml:space="preserve">on </w:t>
      </w:r>
      <w:r w:rsidR="002744E1" w:rsidRPr="002744E1">
        <w:rPr>
          <w:rFonts w:cs="Times New Roman"/>
          <w:szCs w:val="24"/>
          <w:lang w:val="en-US"/>
        </w:rPr>
        <w:t xml:space="preserve">the </w:t>
      </w:r>
      <w:r w:rsidR="007B067E" w:rsidRPr="002744E1">
        <w:rPr>
          <w:rFonts w:cs="Times New Roman"/>
          <w:szCs w:val="24"/>
          <w:lang w:val="en-US"/>
        </w:rPr>
        <w:t>global economic conditions,</w:t>
      </w:r>
      <w:r w:rsidR="00E87B66" w:rsidRPr="002744E1">
        <w:rPr>
          <w:rFonts w:cs="Times New Roman"/>
          <w:szCs w:val="24"/>
          <w:lang w:val="en-US"/>
        </w:rPr>
        <w:t xml:space="preserve"> </w:t>
      </w:r>
      <w:r w:rsidRPr="002744E1">
        <w:rPr>
          <w:rFonts w:cs="Times New Roman"/>
          <w:szCs w:val="24"/>
          <w:lang w:val="en-GB"/>
        </w:rPr>
        <w:t>the projections still call for increases</w:t>
      </w:r>
      <w:r>
        <w:rPr>
          <w:rFonts w:cs="Times New Roman"/>
          <w:szCs w:val="24"/>
          <w:lang w:val="en-GB"/>
        </w:rPr>
        <w:t xml:space="preserve"> in consolidated sales to approx. EUR 4.1 billion (2013: EUR 3.9 billion) and to EBIT of more than EUR 200 million for 2014 (2013: EUR 163.1 million)</w:t>
      </w:r>
      <w:r w:rsidR="0065356D">
        <w:rPr>
          <w:lang w:val="en-GB"/>
        </w:rPr>
        <w:t xml:space="preserve">. </w:t>
      </w:r>
    </w:p>
    <w:p w:rsidR="00F76833"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2744E1">
        <w:rPr>
          <w:rFonts w:ascii="Arial" w:hAnsi="Arial" w:cs="Arial"/>
          <w:i/>
          <w:sz w:val="22"/>
          <w:szCs w:val="22"/>
          <w:lang w:val="en-GB"/>
        </w:rPr>
        <w:t>5,69</w:t>
      </w:r>
      <w:r w:rsidR="00B65C34">
        <w:rPr>
          <w:rFonts w:ascii="Arial" w:hAnsi="Arial" w:cs="Arial"/>
          <w:i/>
          <w:sz w:val="22"/>
          <w:szCs w:val="22"/>
          <w:lang w:val="en-GB"/>
        </w:rPr>
        <w:t>2</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B84EE5" w:rsidRDefault="0019023D" w:rsidP="0019023D">
      <w:pPr>
        <w:pStyle w:val="MMKurzprofilberschrift"/>
        <w:rPr>
          <w:lang w:val="en-GB"/>
        </w:rPr>
      </w:pPr>
      <w:r>
        <w:rPr>
          <w:lang w:val="en-GB"/>
        </w:rPr>
        <w:br w:type="page"/>
      </w:r>
      <w:r w:rsidR="00B84EE5" w:rsidRPr="008218D9">
        <w:rPr>
          <w:lang w:val="en-GB"/>
        </w:rPr>
        <w:lastRenderedPageBreak/>
        <w:t>Leoni performance overview</w:t>
      </w:r>
    </w:p>
    <w:tbl>
      <w:tblPr>
        <w:tblW w:w="7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48"/>
        <w:gridCol w:w="803"/>
        <w:gridCol w:w="803"/>
        <w:gridCol w:w="804"/>
        <w:gridCol w:w="803"/>
        <w:gridCol w:w="803"/>
        <w:gridCol w:w="804"/>
      </w:tblGrid>
      <w:tr w:rsidR="0053287E" w:rsidRPr="00E1439C" w:rsidTr="007B067E">
        <w:tc>
          <w:tcPr>
            <w:tcW w:w="2948" w:type="dxa"/>
            <w:vMerge w:val="restart"/>
            <w:shd w:val="clear" w:color="auto" w:fill="auto"/>
            <w:vAlign w:val="center"/>
          </w:tcPr>
          <w:p w:rsidR="0053287E" w:rsidRPr="007174DF" w:rsidRDefault="00B84EE5" w:rsidP="00433392">
            <w:pPr>
              <w:tabs>
                <w:tab w:val="left" w:pos="8505"/>
              </w:tabs>
              <w:rPr>
                <w:rFonts w:ascii="Arial" w:hAnsi="Arial" w:cs="Arial"/>
                <w:b/>
                <w:sz w:val="18"/>
                <w:szCs w:val="18"/>
              </w:rPr>
            </w:pPr>
            <w:r>
              <w:rPr>
                <w:rFonts w:ascii="Arial" w:hAnsi="Arial" w:cs="Arial"/>
                <w:b/>
                <w:sz w:val="18"/>
                <w:szCs w:val="18"/>
              </w:rPr>
              <w:t xml:space="preserve">Group </w:t>
            </w:r>
            <w:proofErr w:type="spellStart"/>
            <w:r>
              <w:rPr>
                <w:rFonts w:ascii="Arial" w:hAnsi="Arial" w:cs="Arial"/>
                <w:b/>
                <w:sz w:val="18"/>
                <w:szCs w:val="18"/>
              </w:rPr>
              <w:t>key</w:t>
            </w:r>
            <w:proofErr w:type="spellEnd"/>
            <w:r>
              <w:rPr>
                <w:rFonts w:ascii="Arial" w:hAnsi="Arial" w:cs="Arial"/>
                <w:b/>
                <w:sz w:val="18"/>
                <w:szCs w:val="18"/>
              </w:rPr>
              <w:t xml:space="preserve"> </w:t>
            </w:r>
            <w:proofErr w:type="spellStart"/>
            <w:r>
              <w:rPr>
                <w:rFonts w:ascii="Arial" w:hAnsi="Arial" w:cs="Arial"/>
                <w:b/>
                <w:sz w:val="18"/>
                <w:szCs w:val="18"/>
              </w:rPr>
              <w:t>figures</w:t>
            </w:r>
            <w:proofErr w:type="spellEnd"/>
          </w:p>
          <w:p w:rsidR="0053287E" w:rsidRPr="007174DF" w:rsidRDefault="0053287E" w:rsidP="00433392">
            <w:pPr>
              <w:tabs>
                <w:tab w:val="left" w:pos="8505"/>
              </w:tabs>
              <w:rPr>
                <w:rFonts w:ascii="Arial" w:hAnsi="Arial" w:cs="Arial"/>
                <w:b/>
                <w:sz w:val="18"/>
                <w:szCs w:val="18"/>
              </w:rPr>
            </w:pPr>
          </w:p>
        </w:tc>
        <w:tc>
          <w:tcPr>
            <w:tcW w:w="2410" w:type="dxa"/>
            <w:gridSpan w:val="3"/>
            <w:shd w:val="clear" w:color="auto" w:fill="auto"/>
            <w:vAlign w:val="center"/>
          </w:tcPr>
          <w:p w:rsidR="0053287E" w:rsidRPr="00787B3E" w:rsidRDefault="00787B3E" w:rsidP="00787B3E">
            <w:pPr>
              <w:tabs>
                <w:tab w:val="left" w:pos="8505"/>
              </w:tabs>
              <w:jc w:val="center"/>
              <w:rPr>
                <w:rFonts w:ascii="Arial" w:hAnsi="Arial" w:cs="Arial"/>
                <w:b/>
                <w:sz w:val="18"/>
                <w:szCs w:val="18"/>
              </w:rPr>
            </w:pPr>
            <w:r w:rsidRPr="00787B3E">
              <w:rPr>
                <w:rFonts w:ascii="Arial" w:hAnsi="Arial" w:cs="Arial"/>
                <w:b/>
                <w:sz w:val="18"/>
                <w:szCs w:val="18"/>
              </w:rPr>
              <w:t xml:space="preserve">2nd </w:t>
            </w:r>
            <w:proofErr w:type="spellStart"/>
            <w:r w:rsidRPr="00787B3E">
              <w:rPr>
                <w:rFonts w:ascii="Arial" w:hAnsi="Arial" w:cs="Arial"/>
                <w:b/>
                <w:sz w:val="18"/>
                <w:szCs w:val="18"/>
              </w:rPr>
              <w:t>quarter</w:t>
            </w:r>
            <w:proofErr w:type="spellEnd"/>
          </w:p>
        </w:tc>
        <w:tc>
          <w:tcPr>
            <w:tcW w:w="2410" w:type="dxa"/>
            <w:gridSpan w:val="3"/>
            <w:shd w:val="clear" w:color="auto" w:fill="auto"/>
            <w:vAlign w:val="center"/>
          </w:tcPr>
          <w:p w:rsidR="0053287E" w:rsidRPr="00787B3E" w:rsidRDefault="0053287E" w:rsidP="00787B3E">
            <w:pPr>
              <w:tabs>
                <w:tab w:val="left" w:pos="8505"/>
              </w:tabs>
              <w:ind w:right="113"/>
              <w:jc w:val="center"/>
              <w:rPr>
                <w:rFonts w:ascii="Arial" w:hAnsi="Arial" w:cs="Arial"/>
                <w:b/>
                <w:sz w:val="18"/>
                <w:szCs w:val="18"/>
              </w:rPr>
            </w:pPr>
            <w:r w:rsidRPr="00787B3E">
              <w:rPr>
                <w:rFonts w:ascii="Arial" w:hAnsi="Arial" w:cs="Arial"/>
                <w:b/>
                <w:sz w:val="18"/>
                <w:szCs w:val="18"/>
              </w:rPr>
              <w:t>1</w:t>
            </w:r>
            <w:r w:rsidR="00787B3E" w:rsidRPr="00787B3E">
              <w:rPr>
                <w:rFonts w:ascii="Arial" w:hAnsi="Arial" w:cs="Arial"/>
                <w:b/>
                <w:sz w:val="18"/>
                <w:szCs w:val="18"/>
              </w:rPr>
              <w:t>st half</w:t>
            </w:r>
          </w:p>
        </w:tc>
      </w:tr>
      <w:tr w:rsidR="0053287E" w:rsidRPr="00E1439C" w:rsidTr="007B067E">
        <w:tc>
          <w:tcPr>
            <w:tcW w:w="2948" w:type="dxa"/>
            <w:vMerge/>
            <w:vAlign w:val="center"/>
          </w:tcPr>
          <w:p w:rsidR="0053287E" w:rsidRPr="007174DF" w:rsidRDefault="0053287E" w:rsidP="00433392">
            <w:pPr>
              <w:tabs>
                <w:tab w:val="left" w:pos="8505"/>
              </w:tabs>
              <w:rPr>
                <w:rFonts w:ascii="Arial" w:hAnsi="Arial" w:cs="Arial"/>
                <w:b/>
                <w:sz w:val="18"/>
                <w:szCs w:val="18"/>
              </w:rPr>
            </w:pPr>
          </w:p>
        </w:tc>
        <w:tc>
          <w:tcPr>
            <w:tcW w:w="803" w:type="dxa"/>
            <w:noWrap/>
            <w:tcMar>
              <w:left w:w="28" w:type="dxa"/>
              <w:right w:w="28" w:type="dxa"/>
            </w:tcMar>
            <w:vAlign w:val="center"/>
          </w:tcPr>
          <w:p w:rsidR="0053287E" w:rsidRPr="00787B3E" w:rsidRDefault="0053287E" w:rsidP="00404C26">
            <w:pPr>
              <w:tabs>
                <w:tab w:val="left" w:pos="8505"/>
              </w:tabs>
              <w:jc w:val="center"/>
              <w:rPr>
                <w:rFonts w:ascii="Arial" w:hAnsi="Arial" w:cs="Arial"/>
                <w:b/>
                <w:sz w:val="18"/>
                <w:szCs w:val="18"/>
              </w:rPr>
            </w:pPr>
            <w:r w:rsidRPr="00787B3E">
              <w:rPr>
                <w:rFonts w:ascii="Arial" w:hAnsi="Arial" w:cs="Arial"/>
                <w:b/>
                <w:sz w:val="18"/>
                <w:szCs w:val="18"/>
              </w:rPr>
              <w:t>201</w:t>
            </w:r>
            <w:r w:rsidR="00404C26">
              <w:rPr>
                <w:rFonts w:ascii="Arial" w:hAnsi="Arial" w:cs="Arial"/>
                <w:b/>
                <w:sz w:val="18"/>
                <w:szCs w:val="18"/>
              </w:rPr>
              <w:t>4</w:t>
            </w:r>
          </w:p>
        </w:tc>
        <w:tc>
          <w:tcPr>
            <w:tcW w:w="803" w:type="dxa"/>
            <w:tcMar>
              <w:left w:w="28" w:type="dxa"/>
              <w:right w:w="28" w:type="dxa"/>
            </w:tcMar>
            <w:vAlign w:val="center"/>
          </w:tcPr>
          <w:p w:rsidR="0053287E" w:rsidRPr="00787B3E" w:rsidRDefault="0053287E" w:rsidP="00404C26">
            <w:pPr>
              <w:tabs>
                <w:tab w:val="left" w:pos="8505"/>
              </w:tabs>
              <w:jc w:val="center"/>
              <w:rPr>
                <w:rFonts w:ascii="Arial" w:hAnsi="Arial" w:cs="Arial"/>
                <w:b/>
                <w:sz w:val="18"/>
                <w:szCs w:val="18"/>
              </w:rPr>
            </w:pPr>
            <w:r w:rsidRPr="00787B3E">
              <w:rPr>
                <w:rFonts w:ascii="Arial" w:hAnsi="Arial" w:cs="Arial"/>
                <w:b/>
                <w:sz w:val="18"/>
                <w:szCs w:val="18"/>
              </w:rPr>
              <w:t>201</w:t>
            </w:r>
            <w:r w:rsidR="00404C26">
              <w:rPr>
                <w:rFonts w:ascii="Arial" w:hAnsi="Arial" w:cs="Arial"/>
                <w:b/>
                <w:sz w:val="18"/>
                <w:szCs w:val="18"/>
              </w:rPr>
              <w:t>3</w:t>
            </w:r>
          </w:p>
        </w:tc>
        <w:tc>
          <w:tcPr>
            <w:tcW w:w="804" w:type="dxa"/>
            <w:tcMar>
              <w:left w:w="28" w:type="dxa"/>
              <w:right w:w="28" w:type="dxa"/>
            </w:tcMar>
          </w:tcPr>
          <w:p w:rsidR="0053287E" w:rsidRPr="00787B3E" w:rsidRDefault="00787B3E" w:rsidP="00787B3E">
            <w:pPr>
              <w:tabs>
                <w:tab w:val="left" w:pos="8505"/>
              </w:tabs>
              <w:jc w:val="center"/>
              <w:rPr>
                <w:rFonts w:ascii="Arial" w:hAnsi="Arial" w:cs="Arial"/>
                <w:b/>
                <w:sz w:val="18"/>
                <w:szCs w:val="18"/>
              </w:rPr>
            </w:pPr>
            <w:r w:rsidRPr="00787B3E">
              <w:rPr>
                <w:rFonts w:ascii="Arial" w:hAnsi="Arial" w:cs="Arial"/>
                <w:b/>
                <w:sz w:val="18"/>
                <w:szCs w:val="18"/>
              </w:rPr>
              <w:t>Change</w:t>
            </w:r>
          </w:p>
        </w:tc>
        <w:tc>
          <w:tcPr>
            <w:tcW w:w="803" w:type="dxa"/>
            <w:tcMar>
              <w:left w:w="28" w:type="dxa"/>
              <w:right w:w="28" w:type="dxa"/>
            </w:tcMar>
            <w:vAlign w:val="center"/>
          </w:tcPr>
          <w:p w:rsidR="0053287E" w:rsidRPr="00787B3E" w:rsidRDefault="0053287E" w:rsidP="00404C26">
            <w:pPr>
              <w:tabs>
                <w:tab w:val="left" w:pos="8505"/>
              </w:tabs>
              <w:jc w:val="center"/>
              <w:rPr>
                <w:rFonts w:ascii="Arial" w:hAnsi="Arial" w:cs="Arial"/>
                <w:b/>
                <w:sz w:val="18"/>
                <w:szCs w:val="18"/>
              </w:rPr>
            </w:pPr>
            <w:r w:rsidRPr="00787B3E">
              <w:rPr>
                <w:rFonts w:ascii="Arial" w:hAnsi="Arial" w:cs="Arial"/>
                <w:b/>
                <w:sz w:val="18"/>
                <w:szCs w:val="18"/>
              </w:rPr>
              <w:t>201</w:t>
            </w:r>
            <w:r w:rsidR="00404C26">
              <w:rPr>
                <w:rFonts w:ascii="Arial" w:hAnsi="Arial" w:cs="Arial"/>
                <w:b/>
                <w:sz w:val="18"/>
                <w:szCs w:val="18"/>
              </w:rPr>
              <w:t>4</w:t>
            </w:r>
          </w:p>
        </w:tc>
        <w:tc>
          <w:tcPr>
            <w:tcW w:w="803" w:type="dxa"/>
            <w:tcMar>
              <w:left w:w="28" w:type="dxa"/>
              <w:right w:w="28" w:type="dxa"/>
            </w:tcMar>
            <w:vAlign w:val="center"/>
          </w:tcPr>
          <w:p w:rsidR="0053287E" w:rsidRPr="00787B3E" w:rsidRDefault="0053287E" w:rsidP="00404C26">
            <w:pPr>
              <w:tabs>
                <w:tab w:val="left" w:pos="8505"/>
              </w:tabs>
              <w:jc w:val="center"/>
              <w:rPr>
                <w:rFonts w:ascii="Arial" w:hAnsi="Arial" w:cs="Arial"/>
                <w:b/>
                <w:sz w:val="18"/>
                <w:szCs w:val="18"/>
              </w:rPr>
            </w:pPr>
            <w:r w:rsidRPr="00787B3E">
              <w:rPr>
                <w:rFonts w:ascii="Arial" w:hAnsi="Arial" w:cs="Arial"/>
                <w:b/>
                <w:sz w:val="18"/>
                <w:szCs w:val="18"/>
              </w:rPr>
              <w:t>201</w:t>
            </w:r>
            <w:r w:rsidR="00404C26">
              <w:rPr>
                <w:rFonts w:ascii="Arial" w:hAnsi="Arial" w:cs="Arial"/>
                <w:b/>
                <w:sz w:val="18"/>
                <w:szCs w:val="18"/>
              </w:rPr>
              <w:t>3</w:t>
            </w:r>
          </w:p>
        </w:tc>
        <w:tc>
          <w:tcPr>
            <w:tcW w:w="804" w:type="dxa"/>
            <w:tcMar>
              <w:left w:w="28" w:type="dxa"/>
              <w:right w:w="28" w:type="dxa"/>
            </w:tcMar>
            <w:vAlign w:val="center"/>
          </w:tcPr>
          <w:p w:rsidR="0053287E" w:rsidRPr="00787B3E" w:rsidRDefault="00787B3E" w:rsidP="00787B3E">
            <w:pPr>
              <w:tabs>
                <w:tab w:val="left" w:pos="8505"/>
              </w:tabs>
              <w:jc w:val="center"/>
              <w:rPr>
                <w:rFonts w:ascii="Arial" w:hAnsi="Arial" w:cs="Arial"/>
                <w:b/>
                <w:sz w:val="18"/>
                <w:szCs w:val="18"/>
              </w:rPr>
            </w:pPr>
            <w:r w:rsidRPr="00787B3E">
              <w:rPr>
                <w:rFonts w:ascii="Arial" w:hAnsi="Arial" w:cs="Arial"/>
                <w:b/>
                <w:sz w:val="18"/>
                <w:szCs w:val="18"/>
              </w:rPr>
              <w:t>Change</w:t>
            </w:r>
          </w:p>
        </w:tc>
      </w:tr>
      <w:tr w:rsidR="00404C26" w:rsidRPr="000102B0" w:rsidTr="007B067E">
        <w:trPr>
          <w:trHeight w:val="284"/>
        </w:trPr>
        <w:tc>
          <w:tcPr>
            <w:tcW w:w="2948" w:type="dxa"/>
            <w:vAlign w:val="center"/>
          </w:tcPr>
          <w:p w:rsidR="00404C26" w:rsidRPr="007F08F8" w:rsidRDefault="00404C26" w:rsidP="00433392">
            <w:pPr>
              <w:tabs>
                <w:tab w:val="left" w:pos="8505"/>
              </w:tabs>
            </w:pPr>
            <w:r w:rsidRPr="007F08F8">
              <w:rPr>
                <w:rFonts w:ascii="Arial" w:hAnsi="Arial"/>
                <w:sz w:val="18"/>
                <w:lang w:val="en-GB"/>
              </w:rPr>
              <w:t>Sales [€ million]</w:t>
            </w:r>
          </w:p>
        </w:tc>
        <w:tc>
          <w:tcPr>
            <w:tcW w:w="803" w:type="dxa"/>
            <w:noWrap/>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1,019.4</w:t>
            </w:r>
          </w:p>
        </w:tc>
        <w:tc>
          <w:tcPr>
            <w:tcW w:w="803"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1,011.0</w:t>
            </w:r>
          </w:p>
        </w:tc>
        <w:tc>
          <w:tcPr>
            <w:tcW w:w="804"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+0.8%</w:t>
            </w:r>
          </w:p>
        </w:tc>
        <w:tc>
          <w:tcPr>
            <w:tcW w:w="803"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2,039.6</w:t>
            </w:r>
          </w:p>
        </w:tc>
        <w:tc>
          <w:tcPr>
            <w:tcW w:w="803"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1,970.0</w:t>
            </w:r>
          </w:p>
        </w:tc>
        <w:tc>
          <w:tcPr>
            <w:tcW w:w="804"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+3.5%</w:t>
            </w:r>
          </w:p>
        </w:tc>
      </w:tr>
      <w:tr w:rsidR="00404C26" w:rsidRPr="00404C26" w:rsidTr="007B067E">
        <w:trPr>
          <w:trHeight w:val="284"/>
        </w:trPr>
        <w:tc>
          <w:tcPr>
            <w:tcW w:w="2948" w:type="dxa"/>
            <w:vAlign w:val="center"/>
          </w:tcPr>
          <w:p w:rsidR="00404C26" w:rsidRPr="007F08F8" w:rsidRDefault="00404C26" w:rsidP="00433392">
            <w:pPr>
              <w:tabs>
                <w:tab w:val="left" w:pos="8505"/>
              </w:tabs>
            </w:pPr>
            <w:r w:rsidRPr="007F08F8">
              <w:rPr>
                <w:rFonts w:ascii="Arial" w:hAnsi="Arial"/>
                <w:sz w:val="18"/>
                <w:lang w:val="en-GB"/>
              </w:rPr>
              <w:t>EBITDA [€ million]</w:t>
            </w:r>
          </w:p>
        </w:tc>
        <w:tc>
          <w:tcPr>
            <w:tcW w:w="803" w:type="dxa"/>
            <w:noWrap/>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77.8</w:t>
            </w:r>
          </w:p>
        </w:tc>
        <w:tc>
          <w:tcPr>
            <w:tcW w:w="803"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69.6</w:t>
            </w:r>
          </w:p>
        </w:tc>
        <w:tc>
          <w:tcPr>
            <w:tcW w:w="804"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+11.8%</w:t>
            </w:r>
          </w:p>
        </w:tc>
        <w:tc>
          <w:tcPr>
            <w:tcW w:w="803"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158.5</w:t>
            </w:r>
          </w:p>
        </w:tc>
        <w:tc>
          <w:tcPr>
            <w:tcW w:w="803"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137.8</w:t>
            </w:r>
          </w:p>
        </w:tc>
        <w:tc>
          <w:tcPr>
            <w:tcW w:w="804"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+15.0%</w:t>
            </w:r>
          </w:p>
        </w:tc>
      </w:tr>
      <w:tr w:rsidR="00404C26" w:rsidRPr="00404C26" w:rsidTr="007B067E">
        <w:trPr>
          <w:trHeight w:val="284"/>
        </w:trPr>
        <w:tc>
          <w:tcPr>
            <w:tcW w:w="2948" w:type="dxa"/>
            <w:vAlign w:val="center"/>
          </w:tcPr>
          <w:p w:rsidR="00404C26" w:rsidRPr="008203D4" w:rsidRDefault="00404C26" w:rsidP="00433392">
            <w:pPr>
              <w:tabs>
                <w:tab w:val="left" w:pos="8505"/>
              </w:tabs>
              <w:rPr>
                <w:lang w:val="en-US"/>
              </w:rPr>
            </w:pPr>
            <w:r w:rsidRPr="007F08F8">
              <w:rPr>
                <w:rFonts w:ascii="Arial" w:hAnsi="Arial"/>
                <w:sz w:val="18"/>
                <w:lang w:val="en-GB"/>
              </w:rPr>
              <w:t>EBIT [€ million]</w:t>
            </w:r>
          </w:p>
        </w:tc>
        <w:tc>
          <w:tcPr>
            <w:tcW w:w="803" w:type="dxa"/>
            <w:noWrap/>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47.3</w:t>
            </w:r>
          </w:p>
        </w:tc>
        <w:tc>
          <w:tcPr>
            <w:tcW w:w="803"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39.3</w:t>
            </w:r>
          </w:p>
        </w:tc>
        <w:tc>
          <w:tcPr>
            <w:tcW w:w="804"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+20.4%</w:t>
            </w:r>
          </w:p>
        </w:tc>
        <w:tc>
          <w:tcPr>
            <w:tcW w:w="803"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97.9</w:t>
            </w:r>
          </w:p>
        </w:tc>
        <w:tc>
          <w:tcPr>
            <w:tcW w:w="803"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77.8</w:t>
            </w:r>
          </w:p>
        </w:tc>
        <w:tc>
          <w:tcPr>
            <w:tcW w:w="804" w:type="dxa"/>
            <w:shd w:val="clear" w:color="auto" w:fill="auto"/>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+25.9%</w:t>
            </w:r>
          </w:p>
        </w:tc>
      </w:tr>
      <w:tr w:rsidR="00404C26" w:rsidRPr="00404C26" w:rsidTr="007B067E">
        <w:trPr>
          <w:trHeight w:val="284"/>
        </w:trPr>
        <w:tc>
          <w:tcPr>
            <w:tcW w:w="2948" w:type="dxa"/>
            <w:vAlign w:val="center"/>
          </w:tcPr>
          <w:p w:rsidR="00404C26" w:rsidRPr="008203D4" w:rsidRDefault="00404C26" w:rsidP="00404C26">
            <w:pPr>
              <w:tabs>
                <w:tab w:val="left" w:pos="8505"/>
              </w:tabs>
              <w:rPr>
                <w:lang w:val="en-US"/>
              </w:rPr>
            </w:pPr>
            <w:r w:rsidRPr="007F08F8">
              <w:rPr>
                <w:rFonts w:ascii="Arial" w:hAnsi="Arial"/>
                <w:sz w:val="18"/>
                <w:lang w:val="en-GB"/>
              </w:rPr>
              <w:t xml:space="preserve">Adjusted EBIT </w:t>
            </w:r>
            <w:r>
              <w:rPr>
                <w:rFonts w:ascii="Arial" w:hAnsi="Arial"/>
                <w:sz w:val="18"/>
                <w:lang w:val="en-GB"/>
              </w:rPr>
              <w:t>*</w:t>
            </w:r>
            <w:r w:rsidRPr="007F08F8">
              <w:rPr>
                <w:rFonts w:ascii="Arial" w:hAnsi="Arial"/>
                <w:sz w:val="18"/>
                <w:lang w:val="en-GB"/>
              </w:rPr>
              <w:t xml:space="preserve"> [€ million]</w:t>
            </w:r>
          </w:p>
        </w:tc>
        <w:tc>
          <w:tcPr>
            <w:tcW w:w="803" w:type="dxa"/>
            <w:noWrap/>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sidRPr="00404C26">
              <w:rPr>
                <w:rFonts w:ascii="Arial" w:hAnsi="Arial" w:cs="Arial"/>
                <w:sz w:val="18"/>
                <w:szCs w:val="18"/>
                <w:lang w:val="en-US"/>
              </w:rPr>
              <w:t>50</w:t>
            </w:r>
            <w:r>
              <w:rPr>
                <w:rFonts w:ascii="Arial" w:hAnsi="Arial" w:cs="Arial"/>
                <w:sz w:val="18"/>
                <w:szCs w:val="18"/>
                <w:lang w:val="en-US"/>
              </w:rPr>
              <w:t>.</w:t>
            </w:r>
            <w:r w:rsidRPr="00404C26">
              <w:rPr>
                <w:rFonts w:ascii="Arial" w:hAnsi="Arial" w:cs="Arial"/>
                <w:sz w:val="18"/>
                <w:szCs w:val="18"/>
                <w:lang w:val="en-US"/>
              </w:rPr>
              <w:t>9</w:t>
            </w:r>
          </w:p>
        </w:tc>
        <w:tc>
          <w:tcPr>
            <w:tcW w:w="803" w:type="dxa"/>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sidRPr="00404C26">
              <w:rPr>
                <w:rFonts w:ascii="Arial" w:hAnsi="Arial" w:cs="Arial"/>
                <w:sz w:val="18"/>
                <w:szCs w:val="18"/>
                <w:lang w:val="en-US"/>
              </w:rPr>
              <w:t>51</w:t>
            </w:r>
            <w:r>
              <w:rPr>
                <w:rFonts w:ascii="Arial" w:hAnsi="Arial" w:cs="Arial"/>
                <w:sz w:val="18"/>
                <w:szCs w:val="18"/>
                <w:lang w:val="en-US"/>
              </w:rPr>
              <w:t>.</w:t>
            </w:r>
            <w:r w:rsidRPr="00404C26">
              <w:rPr>
                <w:rFonts w:ascii="Arial" w:hAnsi="Arial" w:cs="Arial"/>
                <w:sz w:val="18"/>
                <w:szCs w:val="18"/>
                <w:lang w:val="en-US"/>
              </w:rPr>
              <w:t>3</w:t>
            </w:r>
          </w:p>
        </w:tc>
        <w:tc>
          <w:tcPr>
            <w:tcW w:w="804" w:type="dxa"/>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Pr>
                <w:rFonts w:ascii="Arial" w:hAnsi="Arial" w:cs="Arial"/>
                <w:sz w:val="18"/>
                <w:szCs w:val="18"/>
                <w:lang w:val="it-IT"/>
              </w:rPr>
              <w:t>(0.8)%</w:t>
            </w:r>
          </w:p>
        </w:tc>
        <w:tc>
          <w:tcPr>
            <w:tcW w:w="803" w:type="dxa"/>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sidRPr="00404C26">
              <w:rPr>
                <w:rFonts w:ascii="Arial" w:hAnsi="Arial" w:cs="Arial"/>
                <w:sz w:val="18"/>
                <w:szCs w:val="18"/>
                <w:lang w:val="en-US"/>
              </w:rPr>
              <w:t>103</w:t>
            </w:r>
            <w:r>
              <w:rPr>
                <w:rFonts w:ascii="Arial" w:hAnsi="Arial" w:cs="Arial"/>
                <w:sz w:val="18"/>
                <w:szCs w:val="18"/>
                <w:lang w:val="en-US"/>
              </w:rPr>
              <w:t>.</w:t>
            </w:r>
            <w:r w:rsidRPr="00404C26">
              <w:rPr>
                <w:rFonts w:ascii="Arial" w:hAnsi="Arial" w:cs="Arial"/>
                <w:sz w:val="18"/>
                <w:szCs w:val="18"/>
                <w:lang w:val="en-US"/>
              </w:rPr>
              <w:t>8</w:t>
            </w:r>
          </w:p>
        </w:tc>
        <w:tc>
          <w:tcPr>
            <w:tcW w:w="803" w:type="dxa"/>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sidRPr="00404C26">
              <w:rPr>
                <w:rFonts w:ascii="Arial" w:hAnsi="Arial" w:cs="Arial"/>
                <w:sz w:val="18"/>
                <w:szCs w:val="18"/>
                <w:lang w:val="en-US"/>
              </w:rPr>
              <w:t>94</w:t>
            </w:r>
            <w:r>
              <w:rPr>
                <w:rFonts w:ascii="Arial" w:hAnsi="Arial" w:cs="Arial"/>
                <w:sz w:val="18"/>
                <w:szCs w:val="18"/>
                <w:lang w:val="en-US"/>
              </w:rPr>
              <w:t>.</w:t>
            </w:r>
            <w:r w:rsidRPr="00404C26">
              <w:rPr>
                <w:rFonts w:ascii="Arial" w:hAnsi="Arial" w:cs="Arial"/>
                <w:sz w:val="18"/>
                <w:szCs w:val="18"/>
                <w:lang w:val="en-US"/>
              </w:rPr>
              <w:t>4</w:t>
            </w:r>
          </w:p>
        </w:tc>
        <w:tc>
          <w:tcPr>
            <w:tcW w:w="804"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+10.0%</w:t>
            </w:r>
          </w:p>
        </w:tc>
      </w:tr>
      <w:tr w:rsidR="00404C26" w:rsidRPr="00E1439C" w:rsidTr="007B067E">
        <w:trPr>
          <w:trHeight w:val="284"/>
        </w:trPr>
        <w:tc>
          <w:tcPr>
            <w:tcW w:w="2948" w:type="dxa"/>
            <w:vAlign w:val="center"/>
          </w:tcPr>
          <w:p w:rsidR="00404C26" w:rsidRPr="008203D4" w:rsidRDefault="00404C26" w:rsidP="00433392">
            <w:pPr>
              <w:tabs>
                <w:tab w:val="left" w:pos="8505"/>
              </w:tabs>
              <w:rPr>
                <w:lang w:val="en-US"/>
              </w:rPr>
            </w:pPr>
            <w:r w:rsidRPr="007F08F8">
              <w:rPr>
                <w:rFonts w:ascii="Arial" w:hAnsi="Arial"/>
                <w:sz w:val="18"/>
                <w:lang w:val="en-GB"/>
              </w:rPr>
              <w:t>EBT [€ million]</w:t>
            </w:r>
          </w:p>
        </w:tc>
        <w:tc>
          <w:tcPr>
            <w:tcW w:w="803" w:type="dxa"/>
            <w:noWrap/>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rPr>
            </w:pPr>
            <w:r>
              <w:rPr>
                <w:rFonts w:ascii="Arial" w:hAnsi="Arial" w:cs="Arial"/>
                <w:sz w:val="18"/>
                <w:szCs w:val="18"/>
              </w:rPr>
              <w:t>39.7</w:t>
            </w:r>
          </w:p>
        </w:tc>
        <w:tc>
          <w:tcPr>
            <w:tcW w:w="803"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rPr>
            </w:pPr>
            <w:r>
              <w:rPr>
                <w:rFonts w:ascii="Arial" w:hAnsi="Arial" w:cs="Arial"/>
                <w:sz w:val="18"/>
                <w:szCs w:val="18"/>
              </w:rPr>
              <w:t>30.9</w:t>
            </w:r>
          </w:p>
        </w:tc>
        <w:tc>
          <w:tcPr>
            <w:tcW w:w="804"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rPr>
            </w:pPr>
            <w:r>
              <w:rPr>
                <w:rFonts w:ascii="Arial" w:hAnsi="Arial" w:cs="Arial"/>
                <w:sz w:val="18"/>
                <w:szCs w:val="18"/>
                <w:lang w:val="it-IT"/>
              </w:rPr>
              <w:t>+28.5%</w:t>
            </w:r>
          </w:p>
        </w:tc>
        <w:tc>
          <w:tcPr>
            <w:tcW w:w="803"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rPr>
            </w:pPr>
            <w:r>
              <w:rPr>
                <w:rFonts w:ascii="Arial" w:hAnsi="Arial" w:cs="Arial"/>
                <w:sz w:val="18"/>
                <w:szCs w:val="18"/>
              </w:rPr>
              <w:t>83.4</w:t>
            </w:r>
          </w:p>
        </w:tc>
        <w:tc>
          <w:tcPr>
            <w:tcW w:w="803"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rPr>
            </w:pPr>
            <w:r>
              <w:rPr>
                <w:rFonts w:ascii="Arial" w:hAnsi="Arial" w:cs="Arial"/>
                <w:sz w:val="18"/>
                <w:szCs w:val="18"/>
              </w:rPr>
              <w:t>60.9</w:t>
            </w:r>
          </w:p>
        </w:tc>
        <w:tc>
          <w:tcPr>
            <w:tcW w:w="804"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+36.9%</w:t>
            </w:r>
          </w:p>
        </w:tc>
      </w:tr>
      <w:tr w:rsidR="00404C26" w:rsidRPr="00404C26" w:rsidTr="007B067E">
        <w:trPr>
          <w:trHeight w:val="284"/>
        </w:trPr>
        <w:tc>
          <w:tcPr>
            <w:tcW w:w="2948" w:type="dxa"/>
            <w:vAlign w:val="center"/>
          </w:tcPr>
          <w:p w:rsidR="00404C26" w:rsidRPr="007F08F8" w:rsidRDefault="00404C26" w:rsidP="00433392">
            <w:pPr>
              <w:tabs>
                <w:tab w:val="left" w:pos="8505"/>
              </w:tabs>
            </w:pPr>
            <w:r w:rsidRPr="007F08F8">
              <w:rPr>
                <w:rFonts w:ascii="Arial" w:hAnsi="Arial"/>
                <w:sz w:val="18"/>
                <w:lang w:val="en-GB"/>
              </w:rPr>
              <w:t>Consolidated net income [€ million]</w:t>
            </w:r>
          </w:p>
        </w:tc>
        <w:tc>
          <w:tcPr>
            <w:tcW w:w="803" w:type="dxa"/>
            <w:noWrap/>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rPr>
            </w:pPr>
            <w:r>
              <w:rPr>
                <w:rFonts w:ascii="Arial" w:hAnsi="Arial" w:cs="Arial"/>
                <w:sz w:val="18"/>
                <w:szCs w:val="18"/>
              </w:rPr>
              <w:t>29.9</w:t>
            </w:r>
          </w:p>
        </w:tc>
        <w:tc>
          <w:tcPr>
            <w:tcW w:w="803"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rPr>
            </w:pPr>
            <w:r>
              <w:rPr>
                <w:rFonts w:ascii="Arial" w:hAnsi="Arial" w:cs="Arial"/>
                <w:sz w:val="18"/>
                <w:szCs w:val="18"/>
              </w:rPr>
              <w:t>23.5</w:t>
            </w:r>
          </w:p>
        </w:tc>
        <w:tc>
          <w:tcPr>
            <w:tcW w:w="804"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rPr>
            </w:pPr>
            <w:r>
              <w:rPr>
                <w:rFonts w:ascii="Arial" w:hAnsi="Arial" w:cs="Arial"/>
                <w:sz w:val="18"/>
                <w:szCs w:val="18"/>
                <w:lang w:val="it-IT"/>
              </w:rPr>
              <w:t>+26.9%</w:t>
            </w:r>
          </w:p>
        </w:tc>
        <w:tc>
          <w:tcPr>
            <w:tcW w:w="803"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rPr>
            </w:pPr>
            <w:r>
              <w:rPr>
                <w:rFonts w:ascii="Arial" w:hAnsi="Arial" w:cs="Arial"/>
                <w:sz w:val="18"/>
                <w:szCs w:val="18"/>
              </w:rPr>
              <w:t>61.4</w:t>
            </w:r>
          </w:p>
        </w:tc>
        <w:tc>
          <w:tcPr>
            <w:tcW w:w="803" w:type="dxa"/>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sidRPr="00404C26">
              <w:rPr>
                <w:rFonts w:ascii="Arial" w:hAnsi="Arial" w:cs="Arial"/>
                <w:sz w:val="18"/>
                <w:szCs w:val="18"/>
                <w:lang w:val="en-US"/>
              </w:rPr>
              <w:t>46.1</w:t>
            </w:r>
          </w:p>
        </w:tc>
        <w:tc>
          <w:tcPr>
            <w:tcW w:w="804"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+33.2%</w:t>
            </w:r>
          </w:p>
        </w:tc>
      </w:tr>
      <w:tr w:rsidR="00404C26" w:rsidRPr="00404C26" w:rsidTr="007B067E">
        <w:trPr>
          <w:trHeight w:val="284"/>
        </w:trPr>
        <w:tc>
          <w:tcPr>
            <w:tcW w:w="2948" w:type="dxa"/>
            <w:vAlign w:val="center"/>
          </w:tcPr>
          <w:p w:rsidR="00404C26" w:rsidRPr="008203D4" w:rsidRDefault="00404C26" w:rsidP="00433392">
            <w:pPr>
              <w:tabs>
                <w:tab w:val="left" w:pos="8505"/>
              </w:tabs>
              <w:rPr>
                <w:lang w:val="en-US"/>
              </w:rPr>
            </w:pPr>
            <w:r w:rsidRPr="007F08F8">
              <w:rPr>
                <w:rFonts w:ascii="Arial" w:hAnsi="Arial"/>
                <w:sz w:val="18"/>
                <w:lang w:val="en-GB"/>
              </w:rPr>
              <w:t>Capex incl. acquisitions [€ million]</w:t>
            </w:r>
          </w:p>
        </w:tc>
        <w:tc>
          <w:tcPr>
            <w:tcW w:w="803" w:type="dxa"/>
            <w:noWrap/>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sidRPr="00404C26">
              <w:rPr>
                <w:rFonts w:ascii="Arial" w:hAnsi="Arial" w:cs="Arial"/>
                <w:sz w:val="18"/>
                <w:szCs w:val="18"/>
                <w:lang w:val="en-US"/>
              </w:rPr>
              <w:t>54.1</w:t>
            </w:r>
          </w:p>
        </w:tc>
        <w:tc>
          <w:tcPr>
            <w:tcW w:w="803" w:type="dxa"/>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sidRPr="00404C26">
              <w:rPr>
                <w:rFonts w:ascii="Arial" w:hAnsi="Arial" w:cs="Arial"/>
                <w:sz w:val="18"/>
                <w:szCs w:val="18"/>
                <w:lang w:val="en-US"/>
              </w:rPr>
              <w:t>37</w:t>
            </w:r>
            <w:r>
              <w:rPr>
                <w:rFonts w:ascii="Arial" w:hAnsi="Arial" w:cs="Arial"/>
                <w:sz w:val="18"/>
                <w:szCs w:val="18"/>
                <w:lang w:val="en-US"/>
              </w:rPr>
              <w:t>.</w:t>
            </w:r>
            <w:r w:rsidRPr="00404C26">
              <w:rPr>
                <w:rFonts w:ascii="Arial" w:hAnsi="Arial" w:cs="Arial"/>
                <w:sz w:val="18"/>
                <w:szCs w:val="18"/>
                <w:lang w:val="en-US"/>
              </w:rPr>
              <w:t>0</w:t>
            </w:r>
          </w:p>
        </w:tc>
        <w:tc>
          <w:tcPr>
            <w:tcW w:w="804" w:type="dxa"/>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Pr>
                <w:rFonts w:ascii="Arial" w:hAnsi="Arial" w:cs="Arial"/>
                <w:sz w:val="18"/>
                <w:szCs w:val="18"/>
                <w:lang w:val="it-IT"/>
              </w:rPr>
              <w:t>+46.2%</w:t>
            </w:r>
          </w:p>
        </w:tc>
        <w:tc>
          <w:tcPr>
            <w:tcW w:w="803" w:type="dxa"/>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sidRPr="00404C26">
              <w:rPr>
                <w:rFonts w:ascii="Arial" w:hAnsi="Arial" w:cs="Arial"/>
                <w:sz w:val="18"/>
                <w:szCs w:val="18"/>
                <w:lang w:val="en-US"/>
              </w:rPr>
              <w:t>89</w:t>
            </w:r>
            <w:r>
              <w:rPr>
                <w:rFonts w:ascii="Arial" w:hAnsi="Arial" w:cs="Arial"/>
                <w:sz w:val="18"/>
                <w:szCs w:val="18"/>
                <w:lang w:val="en-US"/>
              </w:rPr>
              <w:t>.</w:t>
            </w:r>
            <w:r w:rsidRPr="00404C26">
              <w:rPr>
                <w:rFonts w:ascii="Arial" w:hAnsi="Arial" w:cs="Arial"/>
                <w:sz w:val="18"/>
                <w:szCs w:val="18"/>
                <w:lang w:val="en-US"/>
              </w:rPr>
              <w:t>2</w:t>
            </w:r>
          </w:p>
        </w:tc>
        <w:tc>
          <w:tcPr>
            <w:tcW w:w="803" w:type="dxa"/>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sidRPr="00404C26">
              <w:rPr>
                <w:rFonts w:ascii="Arial" w:hAnsi="Arial" w:cs="Arial"/>
                <w:sz w:val="18"/>
                <w:szCs w:val="18"/>
                <w:lang w:val="en-US"/>
              </w:rPr>
              <w:t>62</w:t>
            </w:r>
            <w:r>
              <w:rPr>
                <w:rFonts w:ascii="Arial" w:hAnsi="Arial" w:cs="Arial"/>
                <w:sz w:val="18"/>
                <w:szCs w:val="18"/>
                <w:lang w:val="en-US"/>
              </w:rPr>
              <w:t>.</w:t>
            </w:r>
            <w:r w:rsidRPr="00404C26">
              <w:rPr>
                <w:rFonts w:ascii="Arial" w:hAnsi="Arial" w:cs="Arial"/>
                <w:sz w:val="18"/>
                <w:szCs w:val="18"/>
                <w:lang w:val="en-US"/>
              </w:rPr>
              <w:t>5</w:t>
            </w:r>
          </w:p>
        </w:tc>
        <w:tc>
          <w:tcPr>
            <w:tcW w:w="804"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+42.7%</w:t>
            </w:r>
          </w:p>
        </w:tc>
      </w:tr>
      <w:tr w:rsidR="00404C26" w:rsidRPr="00404C26" w:rsidTr="007B067E">
        <w:trPr>
          <w:trHeight w:val="284"/>
        </w:trPr>
        <w:tc>
          <w:tcPr>
            <w:tcW w:w="2948" w:type="dxa"/>
            <w:vAlign w:val="center"/>
          </w:tcPr>
          <w:p w:rsidR="00404C26" w:rsidRPr="007F08F8" w:rsidRDefault="00404C26" w:rsidP="00433392">
            <w:pPr>
              <w:tabs>
                <w:tab w:val="left" w:pos="8505"/>
              </w:tabs>
              <w:rPr>
                <w:rFonts w:ascii="Arial" w:hAnsi="Arial"/>
                <w:sz w:val="18"/>
                <w:lang w:val="en-GB"/>
              </w:rPr>
            </w:pPr>
            <w:r w:rsidRPr="007F08F8">
              <w:rPr>
                <w:rFonts w:ascii="Arial" w:hAnsi="Arial"/>
                <w:sz w:val="18"/>
                <w:lang w:val="en-GB"/>
              </w:rPr>
              <w:t>Equity ratio [%]</w:t>
            </w:r>
          </w:p>
        </w:tc>
        <w:tc>
          <w:tcPr>
            <w:tcW w:w="803" w:type="dxa"/>
            <w:noWrap/>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sidRPr="00404C26">
              <w:rPr>
                <w:rFonts w:ascii="Arial" w:hAnsi="Arial" w:cs="Arial"/>
                <w:sz w:val="18"/>
                <w:szCs w:val="18"/>
                <w:lang w:val="en-US"/>
              </w:rPr>
              <w:t>33</w:t>
            </w:r>
            <w:r>
              <w:rPr>
                <w:rFonts w:ascii="Arial" w:hAnsi="Arial" w:cs="Arial"/>
                <w:sz w:val="18"/>
                <w:szCs w:val="18"/>
                <w:lang w:val="en-US"/>
              </w:rPr>
              <w:t>.</w:t>
            </w:r>
            <w:r w:rsidRPr="00404C26">
              <w:rPr>
                <w:rFonts w:ascii="Arial" w:hAnsi="Arial" w:cs="Arial"/>
                <w:sz w:val="18"/>
                <w:szCs w:val="18"/>
                <w:lang w:val="en-US"/>
              </w:rPr>
              <w:t>4</w:t>
            </w:r>
          </w:p>
        </w:tc>
        <w:tc>
          <w:tcPr>
            <w:tcW w:w="803" w:type="dxa"/>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sidRPr="00404C26">
              <w:rPr>
                <w:rFonts w:ascii="Arial" w:hAnsi="Arial" w:cs="Arial"/>
                <w:sz w:val="18"/>
                <w:szCs w:val="18"/>
                <w:lang w:val="en-US"/>
              </w:rPr>
              <w:t>33</w:t>
            </w:r>
            <w:r>
              <w:rPr>
                <w:rFonts w:ascii="Arial" w:hAnsi="Arial" w:cs="Arial"/>
                <w:sz w:val="18"/>
                <w:szCs w:val="18"/>
                <w:lang w:val="en-US"/>
              </w:rPr>
              <w:t>.</w:t>
            </w:r>
            <w:r w:rsidRPr="00404C26">
              <w:rPr>
                <w:rFonts w:ascii="Arial" w:hAnsi="Arial" w:cs="Arial"/>
                <w:sz w:val="18"/>
                <w:szCs w:val="18"/>
                <w:lang w:val="en-US"/>
              </w:rPr>
              <w:t>0</w:t>
            </w:r>
          </w:p>
        </w:tc>
        <w:tc>
          <w:tcPr>
            <w:tcW w:w="804" w:type="dxa"/>
            <w:tcMar>
              <w:left w:w="28" w:type="dxa"/>
              <w:right w:w="28" w:type="dxa"/>
            </w:tcMar>
            <w:vAlign w:val="center"/>
          </w:tcPr>
          <w:p w:rsidR="00404C26" w:rsidRPr="00404C26" w:rsidRDefault="00404C26" w:rsidP="006D1F37">
            <w:pPr>
              <w:tabs>
                <w:tab w:val="left" w:pos="8505"/>
              </w:tabs>
              <w:spacing w:line="276" w:lineRule="auto"/>
              <w:jc w:val="center"/>
              <w:rPr>
                <w:rFonts w:ascii="Arial" w:hAnsi="Arial" w:cs="Arial"/>
                <w:sz w:val="18"/>
                <w:szCs w:val="18"/>
                <w:lang w:val="en-US"/>
              </w:rPr>
            </w:pPr>
            <w:r>
              <w:rPr>
                <w:rFonts w:ascii="Arial" w:hAnsi="Arial" w:cs="Arial"/>
                <w:sz w:val="18"/>
                <w:szCs w:val="18"/>
                <w:lang w:val="it-IT"/>
              </w:rPr>
              <w:t>__</w:t>
            </w:r>
          </w:p>
        </w:tc>
        <w:tc>
          <w:tcPr>
            <w:tcW w:w="803" w:type="dxa"/>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sidRPr="00404C26">
              <w:rPr>
                <w:rFonts w:ascii="Arial" w:hAnsi="Arial" w:cs="Arial"/>
                <w:sz w:val="18"/>
                <w:szCs w:val="18"/>
                <w:lang w:val="en-US"/>
              </w:rPr>
              <w:t>33</w:t>
            </w:r>
            <w:r>
              <w:rPr>
                <w:rFonts w:ascii="Arial" w:hAnsi="Arial" w:cs="Arial"/>
                <w:sz w:val="18"/>
                <w:szCs w:val="18"/>
                <w:lang w:val="en-US"/>
              </w:rPr>
              <w:t>.</w:t>
            </w:r>
            <w:r w:rsidRPr="00404C26">
              <w:rPr>
                <w:rFonts w:ascii="Arial" w:hAnsi="Arial" w:cs="Arial"/>
                <w:sz w:val="18"/>
                <w:szCs w:val="18"/>
                <w:lang w:val="en-US"/>
              </w:rPr>
              <w:t>4</w:t>
            </w:r>
          </w:p>
        </w:tc>
        <w:tc>
          <w:tcPr>
            <w:tcW w:w="803" w:type="dxa"/>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sidRPr="00404C26">
              <w:rPr>
                <w:rFonts w:ascii="Arial" w:hAnsi="Arial" w:cs="Arial"/>
                <w:sz w:val="18"/>
                <w:szCs w:val="18"/>
                <w:lang w:val="en-US"/>
              </w:rPr>
              <w:t>33</w:t>
            </w:r>
            <w:r>
              <w:rPr>
                <w:rFonts w:ascii="Arial" w:hAnsi="Arial" w:cs="Arial"/>
                <w:sz w:val="18"/>
                <w:szCs w:val="18"/>
                <w:lang w:val="en-US"/>
              </w:rPr>
              <w:t>.</w:t>
            </w:r>
            <w:r w:rsidRPr="00404C26">
              <w:rPr>
                <w:rFonts w:ascii="Arial" w:hAnsi="Arial" w:cs="Arial"/>
                <w:sz w:val="18"/>
                <w:szCs w:val="18"/>
                <w:lang w:val="en-US"/>
              </w:rPr>
              <w:t>0</w:t>
            </w:r>
          </w:p>
        </w:tc>
        <w:tc>
          <w:tcPr>
            <w:tcW w:w="804" w:type="dxa"/>
            <w:tcMar>
              <w:left w:w="28" w:type="dxa"/>
              <w:right w:w="28" w:type="dxa"/>
            </w:tcMar>
            <w:vAlign w:val="center"/>
          </w:tcPr>
          <w:p w:rsidR="00404C26" w:rsidRDefault="00404C26" w:rsidP="006D1F37">
            <w:pPr>
              <w:tabs>
                <w:tab w:val="left" w:pos="8505"/>
              </w:tabs>
              <w:spacing w:line="276" w:lineRule="auto"/>
              <w:jc w:val="center"/>
              <w:rPr>
                <w:rFonts w:ascii="Arial" w:hAnsi="Arial" w:cs="Arial"/>
                <w:sz w:val="18"/>
                <w:szCs w:val="18"/>
                <w:lang w:val="it-IT"/>
              </w:rPr>
            </w:pPr>
            <w:r>
              <w:rPr>
                <w:rFonts w:ascii="Arial" w:hAnsi="Arial" w:cs="Arial"/>
                <w:sz w:val="18"/>
                <w:szCs w:val="18"/>
                <w:lang w:val="it-IT"/>
              </w:rPr>
              <w:t>__</w:t>
            </w:r>
          </w:p>
        </w:tc>
      </w:tr>
      <w:tr w:rsidR="00404C26" w:rsidRPr="00404C26" w:rsidTr="007B067E">
        <w:trPr>
          <w:trHeight w:val="284"/>
        </w:trPr>
        <w:tc>
          <w:tcPr>
            <w:tcW w:w="2948" w:type="dxa"/>
            <w:vAlign w:val="center"/>
          </w:tcPr>
          <w:p w:rsidR="00404C26" w:rsidRPr="008203D4" w:rsidRDefault="00404C26" w:rsidP="00433392">
            <w:pPr>
              <w:tabs>
                <w:tab w:val="left" w:pos="8505"/>
              </w:tabs>
              <w:rPr>
                <w:lang w:val="en-US"/>
              </w:rPr>
            </w:pPr>
            <w:r w:rsidRPr="007F08F8">
              <w:rPr>
                <w:rFonts w:ascii="Arial" w:hAnsi="Arial"/>
                <w:sz w:val="18"/>
                <w:lang w:val="en-GB"/>
              </w:rPr>
              <w:t>Earnings per share [€]</w:t>
            </w:r>
          </w:p>
        </w:tc>
        <w:tc>
          <w:tcPr>
            <w:tcW w:w="803" w:type="dxa"/>
            <w:noWrap/>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sidRPr="00404C26">
              <w:rPr>
                <w:rFonts w:ascii="Arial" w:hAnsi="Arial" w:cs="Arial"/>
                <w:sz w:val="18"/>
                <w:szCs w:val="18"/>
                <w:lang w:val="en-US"/>
              </w:rPr>
              <w:t>0</w:t>
            </w:r>
            <w:r>
              <w:rPr>
                <w:rFonts w:ascii="Arial" w:hAnsi="Arial" w:cs="Arial"/>
                <w:sz w:val="18"/>
                <w:szCs w:val="18"/>
                <w:lang w:val="en-US"/>
              </w:rPr>
              <w:t>.</w:t>
            </w:r>
            <w:r w:rsidRPr="00404C26">
              <w:rPr>
                <w:rFonts w:ascii="Arial" w:hAnsi="Arial" w:cs="Arial"/>
                <w:sz w:val="18"/>
                <w:szCs w:val="18"/>
                <w:lang w:val="en-US"/>
              </w:rPr>
              <w:t>91</w:t>
            </w:r>
          </w:p>
        </w:tc>
        <w:tc>
          <w:tcPr>
            <w:tcW w:w="803" w:type="dxa"/>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sidRPr="00404C26">
              <w:rPr>
                <w:rFonts w:ascii="Arial" w:hAnsi="Arial" w:cs="Arial"/>
                <w:sz w:val="18"/>
                <w:szCs w:val="18"/>
                <w:lang w:val="en-US"/>
              </w:rPr>
              <w:t>0</w:t>
            </w:r>
            <w:r>
              <w:rPr>
                <w:rFonts w:ascii="Arial" w:hAnsi="Arial" w:cs="Arial"/>
                <w:sz w:val="18"/>
                <w:szCs w:val="18"/>
                <w:lang w:val="en-US"/>
              </w:rPr>
              <w:t>.</w:t>
            </w:r>
            <w:r w:rsidRPr="00404C26">
              <w:rPr>
                <w:rFonts w:ascii="Arial" w:hAnsi="Arial" w:cs="Arial"/>
                <w:sz w:val="18"/>
                <w:szCs w:val="18"/>
                <w:lang w:val="en-US"/>
              </w:rPr>
              <w:t>71</w:t>
            </w:r>
          </w:p>
        </w:tc>
        <w:tc>
          <w:tcPr>
            <w:tcW w:w="804" w:type="dxa"/>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Pr>
                <w:rFonts w:ascii="Arial" w:hAnsi="Arial" w:cs="Arial"/>
                <w:sz w:val="18"/>
                <w:szCs w:val="18"/>
                <w:lang w:val="it-IT"/>
              </w:rPr>
              <w:t>+28.2%</w:t>
            </w:r>
          </w:p>
        </w:tc>
        <w:tc>
          <w:tcPr>
            <w:tcW w:w="803" w:type="dxa"/>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sidRPr="00404C26">
              <w:rPr>
                <w:rFonts w:ascii="Arial" w:hAnsi="Arial" w:cs="Arial"/>
                <w:sz w:val="18"/>
                <w:szCs w:val="18"/>
                <w:lang w:val="en-US"/>
              </w:rPr>
              <w:t>1</w:t>
            </w:r>
            <w:r>
              <w:rPr>
                <w:rFonts w:ascii="Arial" w:hAnsi="Arial" w:cs="Arial"/>
                <w:sz w:val="18"/>
                <w:szCs w:val="18"/>
                <w:lang w:val="en-US"/>
              </w:rPr>
              <w:t>.</w:t>
            </w:r>
            <w:r w:rsidRPr="00404C26">
              <w:rPr>
                <w:rFonts w:ascii="Arial" w:hAnsi="Arial" w:cs="Arial"/>
                <w:sz w:val="18"/>
                <w:szCs w:val="18"/>
                <w:lang w:val="en-US"/>
              </w:rPr>
              <w:t>87</w:t>
            </w:r>
          </w:p>
        </w:tc>
        <w:tc>
          <w:tcPr>
            <w:tcW w:w="803" w:type="dxa"/>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sidRPr="00404C26">
              <w:rPr>
                <w:rFonts w:ascii="Arial" w:hAnsi="Arial" w:cs="Arial"/>
                <w:sz w:val="18"/>
                <w:szCs w:val="18"/>
                <w:lang w:val="en-US"/>
              </w:rPr>
              <w:t>1</w:t>
            </w:r>
            <w:r>
              <w:rPr>
                <w:rFonts w:ascii="Arial" w:hAnsi="Arial" w:cs="Arial"/>
                <w:sz w:val="18"/>
                <w:szCs w:val="18"/>
                <w:lang w:val="en-US"/>
              </w:rPr>
              <w:t>.</w:t>
            </w:r>
            <w:r w:rsidRPr="00404C26">
              <w:rPr>
                <w:rFonts w:ascii="Arial" w:hAnsi="Arial" w:cs="Arial"/>
                <w:sz w:val="18"/>
                <w:szCs w:val="18"/>
                <w:lang w:val="en-US"/>
              </w:rPr>
              <w:t>40</w:t>
            </w:r>
          </w:p>
        </w:tc>
        <w:tc>
          <w:tcPr>
            <w:tcW w:w="804"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+33.6%</w:t>
            </w:r>
          </w:p>
        </w:tc>
      </w:tr>
      <w:tr w:rsidR="00404C26" w:rsidRPr="00404C26" w:rsidTr="007B067E">
        <w:trPr>
          <w:trHeight w:val="284"/>
        </w:trPr>
        <w:tc>
          <w:tcPr>
            <w:tcW w:w="2948" w:type="dxa"/>
            <w:vAlign w:val="center"/>
          </w:tcPr>
          <w:p w:rsidR="00404C26" w:rsidRPr="008203D4" w:rsidRDefault="00404C26" w:rsidP="00B84EE5">
            <w:pPr>
              <w:tabs>
                <w:tab w:val="left" w:pos="8505"/>
              </w:tabs>
              <w:rPr>
                <w:lang w:val="en-US"/>
              </w:rPr>
            </w:pPr>
            <w:r w:rsidRPr="007F08F8">
              <w:rPr>
                <w:rFonts w:ascii="Arial" w:hAnsi="Arial"/>
                <w:sz w:val="18"/>
                <w:lang w:val="en-GB"/>
              </w:rPr>
              <w:t>Employees [as at 3</w:t>
            </w:r>
            <w:r>
              <w:rPr>
                <w:rFonts w:ascii="Arial" w:hAnsi="Arial"/>
                <w:sz w:val="18"/>
                <w:lang w:val="en-GB"/>
              </w:rPr>
              <w:t>0</w:t>
            </w:r>
            <w:r w:rsidRPr="007F08F8">
              <w:rPr>
                <w:rFonts w:ascii="Arial" w:hAnsi="Arial"/>
                <w:sz w:val="18"/>
                <w:lang w:val="en-GB"/>
              </w:rPr>
              <w:t xml:space="preserve"> </w:t>
            </w:r>
            <w:r>
              <w:rPr>
                <w:rFonts w:ascii="Arial" w:hAnsi="Arial"/>
                <w:sz w:val="18"/>
                <w:lang w:val="en-GB"/>
              </w:rPr>
              <w:t>June</w:t>
            </w:r>
            <w:r w:rsidRPr="007F08F8">
              <w:rPr>
                <w:rFonts w:ascii="Arial" w:hAnsi="Arial"/>
                <w:sz w:val="18"/>
                <w:lang w:val="en-GB"/>
              </w:rPr>
              <w:t>]</w:t>
            </w:r>
          </w:p>
        </w:tc>
        <w:tc>
          <w:tcPr>
            <w:tcW w:w="803" w:type="dxa"/>
            <w:noWrap/>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sidRPr="00404C26">
              <w:rPr>
                <w:rFonts w:ascii="Arial" w:hAnsi="Arial" w:cs="Arial"/>
                <w:sz w:val="18"/>
                <w:szCs w:val="18"/>
                <w:lang w:val="en-US"/>
              </w:rPr>
              <w:t>65,571</w:t>
            </w:r>
          </w:p>
        </w:tc>
        <w:tc>
          <w:tcPr>
            <w:tcW w:w="803" w:type="dxa"/>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sidRPr="00404C26">
              <w:rPr>
                <w:rFonts w:ascii="Arial" w:hAnsi="Arial" w:cs="Arial"/>
                <w:sz w:val="18"/>
                <w:szCs w:val="18"/>
                <w:lang w:val="en-US"/>
              </w:rPr>
              <w:t>60,477</w:t>
            </w:r>
          </w:p>
        </w:tc>
        <w:tc>
          <w:tcPr>
            <w:tcW w:w="804" w:type="dxa"/>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Pr>
                <w:rFonts w:ascii="Arial" w:hAnsi="Arial" w:cs="Arial"/>
                <w:sz w:val="18"/>
                <w:szCs w:val="18"/>
                <w:lang w:val="it-IT"/>
              </w:rPr>
              <w:t>+8.4%</w:t>
            </w:r>
          </w:p>
        </w:tc>
        <w:tc>
          <w:tcPr>
            <w:tcW w:w="803" w:type="dxa"/>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sidRPr="00404C26">
              <w:rPr>
                <w:rFonts w:ascii="Arial" w:hAnsi="Arial" w:cs="Arial"/>
                <w:sz w:val="18"/>
                <w:szCs w:val="18"/>
                <w:lang w:val="en-US"/>
              </w:rPr>
              <w:t>65,571</w:t>
            </w:r>
          </w:p>
        </w:tc>
        <w:tc>
          <w:tcPr>
            <w:tcW w:w="803" w:type="dxa"/>
            <w:tcMar>
              <w:left w:w="28" w:type="dxa"/>
              <w:right w:w="28" w:type="dxa"/>
            </w:tcMar>
            <w:vAlign w:val="center"/>
          </w:tcPr>
          <w:p w:rsidR="00404C26" w:rsidRPr="00404C26" w:rsidRDefault="00404C26" w:rsidP="00404C26">
            <w:pPr>
              <w:tabs>
                <w:tab w:val="left" w:pos="8505"/>
              </w:tabs>
              <w:spacing w:line="276" w:lineRule="auto"/>
              <w:jc w:val="center"/>
              <w:rPr>
                <w:rFonts w:ascii="Arial" w:hAnsi="Arial" w:cs="Arial"/>
                <w:sz w:val="18"/>
                <w:szCs w:val="18"/>
                <w:lang w:val="en-US"/>
              </w:rPr>
            </w:pPr>
            <w:r w:rsidRPr="00404C26">
              <w:rPr>
                <w:rFonts w:ascii="Arial" w:hAnsi="Arial" w:cs="Arial"/>
                <w:sz w:val="18"/>
                <w:szCs w:val="18"/>
                <w:lang w:val="en-US"/>
              </w:rPr>
              <w:t>60,477</w:t>
            </w:r>
          </w:p>
        </w:tc>
        <w:tc>
          <w:tcPr>
            <w:tcW w:w="804" w:type="dxa"/>
            <w:tcMar>
              <w:left w:w="28" w:type="dxa"/>
              <w:right w:w="28" w:type="dxa"/>
            </w:tcMar>
            <w:vAlign w:val="center"/>
          </w:tcPr>
          <w:p w:rsidR="00404C26" w:rsidRDefault="00404C26" w:rsidP="00404C26">
            <w:pPr>
              <w:tabs>
                <w:tab w:val="left" w:pos="8505"/>
              </w:tabs>
              <w:spacing w:line="276" w:lineRule="auto"/>
              <w:jc w:val="center"/>
              <w:rPr>
                <w:rFonts w:ascii="Arial" w:hAnsi="Arial" w:cs="Arial"/>
                <w:sz w:val="18"/>
                <w:szCs w:val="18"/>
                <w:lang w:val="it-IT"/>
              </w:rPr>
            </w:pPr>
            <w:r>
              <w:rPr>
                <w:rFonts w:ascii="Arial" w:hAnsi="Arial" w:cs="Arial"/>
                <w:sz w:val="18"/>
                <w:szCs w:val="18"/>
                <w:lang w:val="it-IT"/>
              </w:rPr>
              <w:t>+8.4%</w:t>
            </w:r>
          </w:p>
        </w:tc>
      </w:tr>
    </w:tbl>
    <w:p w:rsidR="00F86DEB" w:rsidRPr="00B84EE5" w:rsidRDefault="00F86DEB" w:rsidP="00744F2F">
      <w:pPr>
        <w:ind w:right="1922"/>
        <w:rPr>
          <w:rFonts w:ascii="Arial" w:hAnsi="Arial" w:cs="Arial"/>
          <w:i/>
          <w:sz w:val="16"/>
          <w:szCs w:val="16"/>
          <w:lang w:val="en-GB"/>
        </w:rPr>
      </w:pPr>
    </w:p>
    <w:p w:rsidR="00B84EE5" w:rsidRPr="007F08F8" w:rsidRDefault="00B84EE5" w:rsidP="00B84EE5">
      <w:pPr>
        <w:autoSpaceDE w:val="0"/>
        <w:autoSpaceDN w:val="0"/>
        <w:adjustRightInd w:val="0"/>
        <w:ind w:right="1852"/>
        <w:rPr>
          <w:rFonts w:ascii="Arial" w:hAnsi="Arial"/>
          <w:lang w:val="en-US"/>
        </w:rPr>
      </w:pPr>
      <w:r w:rsidRPr="008D4891">
        <w:rPr>
          <w:rFonts w:ascii="Arial" w:hAnsi="Arial"/>
          <w:i/>
          <w:sz w:val="16"/>
          <w:lang w:val="en-GB"/>
        </w:rPr>
        <w:t>* Earnings adjusted for the impact of revaluation as part of allocating th</w:t>
      </w:r>
      <w:r w:rsidR="00787B3E">
        <w:rPr>
          <w:rFonts w:ascii="Arial" w:hAnsi="Arial"/>
          <w:i/>
          <w:sz w:val="16"/>
          <w:lang w:val="en-GB"/>
        </w:rPr>
        <w:t>e prices of major acquisitions, r</w:t>
      </w:r>
      <w:r w:rsidRPr="008D4891">
        <w:rPr>
          <w:rFonts w:ascii="Arial" w:hAnsi="Arial"/>
          <w:i/>
          <w:sz w:val="16"/>
          <w:lang w:val="en-GB"/>
        </w:rPr>
        <w:t xml:space="preserve">estructuring, </w:t>
      </w:r>
      <w:proofErr w:type="gramStart"/>
      <w:r w:rsidRPr="008D4891">
        <w:rPr>
          <w:rFonts w:ascii="Arial" w:hAnsi="Arial"/>
          <w:i/>
          <w:sz w:val="16"/>
          <w:lang w:val="en-GB"/>
        </w:rPr>
        <w:t>impairment</w:t>
      </w:r>
      <w:proofErr w:type="gramEnd"/>
      <w:r w:rsidRPr="008D4891">
        <w:rPr>
          <w:rFonts w:ascii="Arial" w:hAnsi="Arial"/>
          <w:i/>
          <w:sz w:val="16"/>
          <w:lang w:val="en-GB"/>
        </w:rPr>
        <w:t xml:space="preserve"> of non-current assets, gains on business disposals and </w:t>
      </w:r>
      <w:r>
        <w:rPr>
          <w:rFonts w:ascii="Arial" w:hAnsi="Arial"/>
          <w:i/>
          <w:sz w:val="16"/>
          <w:lang w:val="en-GB"/>
        </w:rPr>
        <w:t xml:space="preserve">on business </w:t>
      </w:r>
      <w:r w:rsidRPr="008D4891">
        <w:rPr>
          <w:rFonts w:ascii="Arial" w:hAnsi="Arial"/>
          <w:i/>
          <w:sz w:val="16"/>
          <w:lang w:val="en-GB"/>
        </w:rPr>
        <w:t>combinations including related derivatives</w:t>
      </w:r>
      <w:r>
        <w:rPr>
          <w:rFonts w:ascii="Arial" w:hAnsi="Arial"/>
          <w:i/>
          <w:sz w:val="16"/>
          <w:lang w:val="en-US"/>
        </w:rPr>
        <w:t>.</w:t>
      </w:r>
    </w:p>
    <w:p w:rsidR="00B84EE5" w:rsidRPr="00B84EE5" w:rsidRDefault="00B84EE5" w:rsidP="00B84EE5">
      <w:pPr>
        <w:spacing w:before="240"/>
        <w:ind w:right="1854"/>
        <w:rPr>
          <w:rFonts w:ascii="Arial" w:hAnsi="Arial"/>
          <w:i/>
          <w:sz w:val="21"/>
          <w:lang w:val="en-GB"/>
        </w:rPr>
      </w:pPr>
      <w:r w:rsidRPr="00C85271">
        <w:rPr>
          <w:rFonts w:ascii="Arial" w:hAnsi="Arial"/>
          <w:sz w:val="36"/>
          <w:szCs w:val="36"/>
          <w:lang w:val="en-GB"/>
        </w:rPr>
        <w:sym w:font="Wingdings" w:char="F046"/>
      </w:r>
      <w:r w:rsidRPr="00C85271">
        <w:rPr>
          <w:rFonts w:ascii="Arial" w:hAnsi="Arial"/>
          <w:i/>
          <w:sz w:val="20"/>
          <w:lang w:val="en-GB"/>
        </w:rPr>
        <w:t xml:space="preserve"> </w:t>
      </w:r>
      <w:r w:rsidRPr="00D92309">
        <w:rPr>
          <w:rFonts w:ascii="Arial" w:hAnsi="Arial"/>
          <w:i/>
          <w:sz w:val="21"/>
          <w:lang w:val="en-GB"/>
        </w:rPr>
        <w:t>Related i</w:t>
      </w:r>
      <w:r w:rsidRPr="00C85271">
        <w:rPr>
          <w:rFonts w:ascii="Arial" w:hAnsi="Arial"/>
          <w:i/>
          <w:sz w:val="21"/>
          <w:lang w:val="en-GB"/>
        </w:rPr>
        <w:t xml:space="preserve">llustration material can be downloaded </w:t>
      </w:r>
      <w:r w:rsidR="00404C26" w:rsidRPr="00C85271">
        <w:rPr>
          <w:rFonts w:ascii="Arial" w:hAnsi="Arial"/>
          <w:i/>
          <w:sz w:val="21"/>
          <w:lang w:val="en-GB"/>
        </w:rPr>
        <w:t xml:space="preserve">next to this release </w:t>
      </w:r>
      <w:r w:rsidR="00404C26">
        <w:rPr>
          <w:rFonts w:ascii="Arial" w:hAnsi="Arial"/>
          <w:i/>
          <w:sz w:val="21"/>
          <w:lang w:val="en-GB"/>
        </w:rPr>
        <w:t>at</w:t>
      </w:r>
      <w:r w:rsidRPr="00C85271">
        <w:rPr>
          <w:rFonts w:ascii="Arial" w:hAnsi="Arial"/>
          <w:i/>
          <w:sz w:val="21"/>
          <w:lang w:val="en-GB"/>
        </w:rPr>
        <w:t xml:space="preserve"> </w:t>
      </w:r>
      <w:hyperlink r:id="rId9" w:history="1">
        <w:r w:rsidR="0019023D" w:rsidRPr="00A77D60">
          <w:rPr>
            <w:rStyle w:val="Hyperlink"/>
            <w:rFonts w:ascii="Arial" w:hAnsi="Arial"/>
            <w:i/>
            <w:sz w:val="21"/>
            <w:lang w:val="en-GB"/>
          </w:rPr>
          <w:t>www.leoni.com/en/press/releases/details/leoni-boosts-its-sales-to-over-eur-2-billion-in-the-first-half-of-2014/</w:t>
        </w:r>
      </w:hyperlink>
      <w:r w:rsidRPr="00C85271">
        <w:rPr>
          <w:rFonts w:ascii="Arial" w:hAnsi="Arial"/>
          <w:i/>
          <w:sz w:val="21"/>
          <w:lang w:val="en-GB"/>
        </w:rPr>
        <w:t xml:space="preserve"> </w:t>
      </w:r>
      <w:r>
        <w:rPr>
          <w:rFonts w:ascii="Arial" w:hAnsi="Arial"/>
          <w:i/>
          <w:sz w:val="21"/>
          <w:lang w:val="en-GB"/>
        </w:rPr>
        <w:br/>
      </w:r>
      <w:r w:rsidRPr="002C049D">
        <w:rPr>
          <w:rFonts w:ascii="Arial" w:hAnsi="Arial"/>
          <w:sz w:val="36"/>
          <w:szCs w:val="36"/>
          <w:lang w:val="en-GB"/>
        </w:rPr>
        <w:sym w:font="Wingdings" w:char="F046"/>
      </w:r>
      <w:r w:rsidRPr="002C049D">
        <w:rPr>
          <w:rFonts w:ascii="Arial" w:hAnsi="Arial"/>
          <w:i/>
          <w:sz w:val="20"/>
          <w:lang w:val="en-GB"/>
        </w:rPr>
        <w:t xml:space="preserve"> </w:t>
      </w:r>
      <w:proofErr w:type="gramStart"/>
      <w:r w:rsidRPr="002C049D">
        <w:rPr>
          <w:rFonts w:ascii="Arial" w:hAnsi="Arial"/>
          <w:i/>
          <w:sz w:val="21"/>
          <w:lang w:val="en-GB"/>
        </w:rPr>
        <w:t>The</w:t>
      </w:r>
      <w:proofErr w:type="gramEnd"/>
      <w:r w:rsidRPr="002C049D">
        <w:rPr>
          <w:rFonts w:ascii="Arial" w:hAnsi="Arial"/>
          <w:i/>
          <w:sz w:val="21"/>
          <w:lang w:val="en-GB"/>
        </w:rPr>
        <w:t xml:space="preserve"> complete </w:t>
      </w:r>
      <w:r>
        <w:rPr>
          <w:rFonts w:ascii="Arial" w:hAnsi="Arial"/>
          <w:i/>
          <w:sz w:val="21"/>
          <w:lang w:val="en-GB"/>
        </w:rPr>
        <w:t xml:space="preserve">quarterly </w:t>
      </w:r>
      <w:r w:rsidRPr="002C049D">
        <w:rPr>
          <w:rFonts w:ascii="Arial" w:hAnsi="Arial"/>
          <w:i/>
          <w:sz w:val="21"/>
          <w:lang w:val="en-GB"/>
        </w:rPr>
        <w:t xml:space="preserve">report can be </w:t>
      </w:r>
      <w:r>
        <w:rPr>
          <w:rFonts w:ascii="Arial" w:hAnsi="Arial"/>
          <w:i/>
          <w:sz w:val="21"/>
          <w:lang w:val="en-GB"/>
        </w:rPr>
        <w:t>foun</w:t>
      </w:r>
      <w:r w:rsidRPr="002C049D">
        <w:rPr>
          <w:rFonts w:ascii="Arial" w:hAnsi="Arial"/>
          <w:i/>
          <w:sz w:val="21"/>
          <w:lang w:val="en-GB"/>
        </w:rPr>
        <w:t>d</w:t>
      </w:r>
      <w:r>
        <w:rPr>
          <w:rFonts w:ascii="Arial" w:hAnsi="Arial"/>
          <w:i/>
          <w:sz w:val="21"/>
          <w:lang w:val="en-GB"/>
        </w:rPr>
        <w:t xml:space="preserve"> at </w:t>
      </w:r>
      <w:r w:rsidR="00327D2D">
        <w:rPr>
          <w:rFonts w:ascii="Arial" w:hAnsi="Arial"/>
          <w:i/>
          <w:sz w:val="21"/>
          <w:lang w:val="en-GB"/>
        </w:rPr>
        <w:br/>
      </w:r>
      <w:hyperlink r:id="rId10" w:history="1">
        <w:r w:rsidR="00404C26" w:rsidRPr="005966F6">
          <w:rPr>
            <w:rStyle w:val="Hyperlink"/>
            <w:rFonts w:ascii="Arial" w:hAnsi="Arial"/>
            <w:i/>
            <w:sz w:val="21"/>
            <w:lang w:val="en-GB"/>
          </w:rPr>
          <w:t>www.leoni.com/en/financial-publications/</w:t>
        </w:r>
      </w:hyperlink>
    </w:p>
    <w:p w:rsidR="00F76833" w:rsidRPr="00C85271" w:rsidRDefault="00F76833" w:rsidP="0019023D">
      <w:pPr>
        <w:pStyle w:val="MMKurzprofilberschrift"/>
        <w:rPr>
          <w:lang w:val="en-GB"/>
        </w:rPr>
      </w:pPr>
      <w:r w:rsidRPr="00C85271">
        <w:rPr>
          <w:lang w:val="en-GB"/>
        </w:rPr>
        <w:t>About the Leoni Group</w:t>
      </w:r>
    </w:p>
    <w:p w:rsidR="00F76833" w:rsidRDefault="00F76833" w:rsidP="005712FF">
      <w:pPr>
        <w:pStyle w:val="MMKurzprofil"/>
        <w:spacing w:after="120"/>
        <w:ind w:right="1922"/>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w:t>
      </w:r>
      <w:bookmarkStart w:id="0" w:name="_GoBack"/>
      <w:bookmarkEnd w:id="0"/>
      <w:r w:rsidRPr="00C85271">
        <w:rPr>
          <w:lang w:val="en-GB"/>
        </w:rPr>
        <w:t xml:space="preserve">rman MDAX, employs </w:t>
      </w:r>
      <w:r w:rsidR="00744F2F">
        <w:rPr>
          <w:lang w:val="en-GB"/>
        </w:rPr>
        <w:t xml:space="preserve">about </w:t>
      </w:r>
      <w:r w:rsidR="000E49EE">
        <w:rPr>
          <w:lang w:val="en-GB"/>
        </w:rPr>
        <w:t>6</w:t>
      </w:r>
      <w:r w:rsidR="00404C26">
        <w:rPr>
          <w:lang w:val="en-GB"/>
        </w:rPr>
        <w:t>6</w:t>
      </w:r>
      <w:r w:rsidRPr="00C85271">
        <w:rPr>
          <w:lang w:val="en-GB"/>
        </w:rPr>
        <w:t>,000 people in 3</w:t>
      </w:r>
      <w:r w:rsidR="00404C26">
        <w:rPr>
          <w:lang w:val="en-GB"/>
        </w:rPr>
        <w:t>3</w:t>
      </w:r>
      <w:r w:rsidRPr="00C85271">
        <w:rPr>
          <w:lang w:val="en-GB"/>
        </w:rPr>
        <w:t xml:space="preserve"> countries </w:t>
      </w:r>
      <w:r w:rsidR="006C41D1" w:rsidRPr="00C85271">
        <w:rPr>
          <w:lang w:val="en-GB"/>
        </w:rPr>
        <w:t xml:space="preserve">and generated consolidated sales of </w:t>
      </w:r>
      <w:r w:rsidR="006C41D1" w:rsidRPr="00B572CD">
        <w:rPr>
          <w:lang w:val="en-US"/>
        </w:rPr>
        <w:t>EUR 3.</w:t>
      </w:r>
      <w:r w:rsidR="00404C26">
        <w:rPr>
          <w:lang w:val="en-US"/>
        </w:rPr>
        <w:t>92</w:t>
      </w:r>
      <w:r w:rsidR="006C41D1" w:rsidRPr="00B572CD">
        <w:rPr>
          <w:lang w:val="en-US"/>
        </w:rPr>
        <w:t xml:space="preserve"> billion in 201</w:t>
      </w:r>
      <w:r w:rsidR="00404C26">
        <w:rPr>
          <w:lang w:val="en-US"/>
        </w:rPr>
        <w:t>3</w:t>
      </w:r>
      <w:r>
        <w:rPr>
          <w:lang w:val="en-US"/>
        </w:rPr>
        <w:t>.</w:t>
      </w:r>
    </w:p>
    <w:p w:rsidR="00B351E3" w:rsidRPr="00541D3C" w:rsidRDefault="00C251FA" w:rsidP="00744F2F">
      <w:pPr>
        <w:pStyle w:val="MMKurzprofil"/>
        <w:rPr>
          <w:lang w:val="en-US"/>
        </w:rPr>
      </w:pPr>
      <w:hyperlink r:id="rId11" w:tgtFrame="_blank" w:history="1">
        <w:r w:rsidR="006C508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14.25pt" wrapcoords="-1137 0 -1137 20463 21600 20463 21600 0 -1137 0" o:allowoverlap="f" o:button="t">
              <v:imagedata r:id="rId12" o:title=""/>
            </v:shape>
          </w:pict>
        </w:r>
      </w:hyperlink>
      <w:r w:rsidR="00B351E3" w:rsidRPr="00541D3C">
        <w:rPr>
          <w:noProof/>
          <w:lang w:val="en-US"/>
        </w:rPr>
        <w:t xml:space="preserve"> </w:t>
      </w:r>
      <w:hyperlink r:id="rId13" w:tgtFrame="_blank" w:history="1">
        <w:r w:rsidR="006C508C">
          <w:pict>
            <v:shape id="_x0000_i1034" type="#_x0000_t75" style="width:14.25pt;height:14.25pt" wrapcoords="-1137 0 -1137 20463 21600 20463 21600 0 -1137 0" o:allowoverlap="f" o:button="t">
              <v:imagedata r:id="rId14" o:title=""/>
            </v:shape>
          </w:pict>
        </w:r>
      </w:hyperlink>
    </w:p>
    <w:p w:rsidR="00B351E3" w:rsidRPr="00541D3C" w:rsidRDefault="00B351E3" w:rsidP="0019023D">
      <w:pPr>
        <w:pStyle w:val="MMKurzprofilberschrift"/>
        <w:rPr>
          <w:lang w:val="en-US"/>
        </w:rPr>
        <w:sectPr w:rsidR="00B351E3" w:rsidRPr="00541D3C">
          <w:headerReference w:type="default" r:id="rId15"/>
          <w:footerReference w:type="default" r:id="rId16"/>
          <w:headerReference w:type="first" r:id="rId17"/>
          <w:footerReference w:type="first" r:id="rId18"/>
          <w:pgSz w:w="11900" w:h="16840" w:code="9"/>
          <w:pgMar w:top="2977" w:right="833" w:bottom="1701" w:left="1418" w:header="0" w:footer="742" w:gutter="0"/>
          <w:cols w:space="708"/>
        </w:sectPr>
      </w:pPr>
    </w:p>
    <w:p w:rsidR="00744F2F" w:rsidRPr="00C85271" w:rsidRDefault="00744F2F" w:rsidP="0019023D">
      <w:pPr>
        <w:pStyle w:val="MMKurzprofilberschrift"/>
        <w:rPr>
          <w:lang w:val="en-GB"/>
        </w:rPr>
      </w:pPr>
      <w:r w:rsidRPr="00C85271">
        <w:rPr>
          <w:lang w:val="en-GB"/>
        </w:rPr>
        <w:lastRenderedPageBreak/>
        <w:t>Contact person for journalists</w:t>
      </w:r>
    </w:p>
    <w:p w:rsidR="00744F2F" w:rsidRPr="00C85271" w:rsidRDefault="00744F2F" w:rsidP="00744F2F">
      <w:pPr>
        <w:pStyle w:val="MMKurzprofil"/>
        <w:rPr>
          <w:rFonts w:cs="Times New Roman"/>
          <w:szCs w:val="24"/>
          <w:lang w:val="en-GB"/>
        </w:rPr>
      </w:pPr>
      <w:r w:rsidRPr="00C85271">
        <w:rPr>
          <w:rFonts w:cs="Times New Roman"/>
          <w:szCs w:val="24"/>
          <w:lang w:val="en-GB"/>
        </w:rPr>
        <w:t>Sven Schmidt</w:t>
      </w:r>
    </w:p>
    <w:p w:rsidR="00744F2F" w:rsidRDefault="00744F2F" w:rsidP="00744F2F">
      <w:pPr>
        <w:pStyle w:val="MMKurzprofil"/>
        <w:rPr>
          <w:rFonts w:cs="Times New Roman"/>
          <w:szCs w:val="24"/>
          <w:lang w:val="en-GB"/>
        </w:rPr>
      </w:pPr>
      <w:r w:rsidRPr="00C85271">
        <w:rPr>
          <w:rFonts w:cs="Times New Roman"/>
          <w:szCs w:val="24"/>
          <w:lang w:val="en-GB"/>
        </w:rPr>
        <w:t>Corporate Public &amp; Media Relations</w:t>
      </w:r>
    </w:p>
    <w:p w:rsidR="00744F2F" w:rsidRPr="00C85271" w:rsidRDefault="00744F2F" w:rsidP="00744F2F">
      <w:pPr>
        <w:pStyle w:val="MMKurzprofil"/>
        <w:rPr>
          <w:rFonts w:cs="Times New Roman"/>
          <w:szCs w:val="24"/>
          <w:lang w:val="en-GB"/>
        </w:rPr>
      </w:pPr>
      <w:r>
        <w:rPr>
          <w:rFonts w:cs="Times New Roman"/>
          <w:szCs w:val="24"/>
          <w:lang w:val="en-GB"/>
        </w:rPr>
        <w:t>LEONI AG</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744F2F" w:rsidRPr="00744F2F" w:rsidRDefault="00744F2F" w:rsidP="00744F2F">
      <w:pPr>
        <w:pStyle w:val="MMKurzprofil"/>
        <w:tabs>
          <w:tab w:val="clear" w:pos="8505"/>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9" w:history="1">
        <w:r w:rsidRPr="00C85271">
          <w:rPr>
            <w:rStyle w:val="Hyperlink"/>
            <w:rFonts w:cs="Times New Roman"/>
            <w:szCs w:val="24"/>
            <w:lang w:val="en-GB"/>
          </w:rPr>
          <w:t>presse@leoni.com</w:t>
        </w:r>
      </w:hyperlink>
    </w:p>
    <w:sectPr w:rsidR="00744F2F" w:rsidRPr="00744F2F" w:rsidSect="00744F2F">
      <w:headerReference w:type="default" r:id="rId20"/>
      <w:footerReference w:type="default" r:id="rId21"/>
      <w:headerReference w:type="first" r:id="rId22"/>
      <w:footerReference w:type="first" r:id="rId23"/>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C251FA">
      <w:rPr>
        <w:rStyle w:val="Seitenzahl"/>
        <w:rFonts w:ascii="Arial" w:hAnsi="Arial"/>
        <w:i/>
        <w:noProof/>
        <w:sz w:val="16"/>
      </w:rPr>
      <w:t>4</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C251FA">
      <w:rPr>
        <w:rStyle w:val="Seitenzahl"/>
        <w:rFonts w:ascii="Arial" w:hAnsi="Arial"/>
        <w:i/>
        <w:noProof/>
        <w:sz w:val="16"/>
      </w:rPr>
      <w:t>4</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19023D">
      <w:rPr>
        <w:rStyle w:val="Seitenzahl"/>
        <w:rFonts w:ascii="Arial" w:hAnsi="Arial"/>
        <w:i/>
        <w:noProof/>
        <w:sz w:val="16"/>
      </w:rPr>
      <w:t>5</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C251FA">
      <w:rPr>
        <w:rStyle w:val="Seitenzahl"/>
        <w:rFonts w:ascii="Arial" w:hAnsi="Arial"/>
        <w:i/>
        <w:noProof/>
        <w:sz w:val="16"/>
      </w:rPr>
      <w:t>4</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C251FA">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2744E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C251FA">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C251FA" w:rsidP="00F65C50">
    <w:pPr>
      <w:pStyle w:val="Kopfzeile"/>
      <w:tabs>
        <w:tab w:val="clear" w:pos="9072"/>
        <w:tab w:val="right" w:pos="9639"/>
      </w:tabs>
      <w:rPr>
        <w:rFonts w:ascii="Verdana" w:hAnsi="Verdana"/>
        <w:sz w:val="20"/>
      </w:rPr>
    </w:pPr>
  </w:p>
  <w:p w:rsidR="008F37D5" w:rsidRDefault="00C251FA" w:rsidP="00F65C50">
    <w:pPr>
      <w:pStyle w:val="Kopfzeile"/>
      <w:tabs>
        <w:tab w:val="clear" w:pos="9072"/>
        <w:tab w:val="right" w:pos="9639"/>
      </w:tabs>
      <w:rPr>
        <w:rFonts w:ascii="Verdana" w:hAnsi="Verdana"/>
        <w:sz w:val="20"/>
      </w:rPr>
    </w:pPr>
  </w:p>
  <w:p w:rsidR="008F37D5" w:rsidRPr="00F17738" w:rsidRDefault="00C251FA" w:rsidP="00F65C50">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61312;mso-position-horizontal-relative:page;mso-position-vertical-relative:page" o:allowoverlap="f">
          <v:imagedata r:id="rId1" o:title="LEONI Logo farbig"/>
          <w10:wrap anchorx="page" anchory="page"/>
          <w10:anchorlock/>
        </v:shape>
      </w:pict>
    </w:r>
  </w:p>
  <w:p w:rsidR="008F37D5" w:rsidRDefault="00C251FA"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C251FA">
    <w:pPr>
      <w:pStyle w:val="Kopfzeile"/>
      <w:tabs>
        <w:tab w:val="clear" w:pos="9072"/>
        <w:tab w:val="right" w:pos="9639"/>
      </w:tabs>
      <w:rPr>
        <w:rFonts w:ascii="Verdana" w:hAnsi="Verdana"/>
        <w:sz w:val="20"/>
      </w:rPr>
    </w:pPr>
  </w:p>
  <w:p w:rsidR="008F37D5" w:rsidRDefault="00C251FA">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C251FA">
    <w:pPr>
      <w:pStyle w:val="Kopfzeile"/>
      <w:ind w:right="12"/>
      <w:rPr>
        <w:rFonts w:ascii="Verdana" w:hAnsi="Verdana"/>
        <w:sz w:val="20"/>
      </w:rPr>
    </w:pPr>
  </w:p>
  <w:p w:rsidR="008F37D5" w:rsidRDefault="00C251FA">
    <w:pPr>
      <w:pStyle w:val="Kopfzeile"/>
      <w:ind w:right="12"/>
      <w:rPr>
        <w:rFonts w:ascii="Verdana" w:hAnsi="Verdana"/>
        <w:sz w:val="20"/>
      </w:rPr>
    </w:pPr>
  </w:p>
  <w:p w:rsidR="008F37D5" w:rsidRDefault="00C251FA">
    <w:pPr>
      <w:pStyle w:val="Kopfzeile"/>
      <w:ind w:right="12"/>
      <w:rPr>
        <w:rFonts w:ascii="Verdana" w:hAnsi="Verdana"/>
        <w:sz w:val="20"/>
      </w:rPr>
    </w:pPr>
  </w:p>
  <w:p w:rsidR="008F37D5" w:rsidRDefault="00C251FA">
    <w:pPr>
      <w:pStyle w:val="Kopfzeile"/>
      <w:ind w:right="12"/>
      <w:rPr>
        <w:rFonts w:ascii="Verdana" w:hAnsi="Verdana"/>
        <w:sz w:val="20"/>
      </w:rPr>
    </w:pPr>
  </w:p>
  <w:p w:rsidR="008F37D5" w:rsidRDefault="00C251FA">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251660288;mso-position-horizontal-relative:margin;mso-position-vertical-relative:margin" o:allowoverlap="f">
          <v:imagedata r:id="rId1" o:title=""/>
          <w10:wrap anchorx="margin" anchory="margin"/>
        </v:shape>
      </w:pict>
    </w:r>
  </w:p>
  <w:p w:rsidR="008F37D5" w:rsidRDefault="00C251FA">
    <w:pPr>
      <w:pStyle w:val="Kopfzeile"/>
      <w:ind w:right="12"/>
      <w:rPr>
        <w:rFonts w:ascii="Verdana" w:hAnsi="Verdana"/>
        <w:sz w:val="20"/>
      </w:rPr>
    </w:pPr>
  </w:p>
  <w:p w:rsidR="008F37D5" w:rsidRDefault="00C251FA">
    <w:pPr>
      <w:pStyle w:val="Kopfzeile"/>
      <w:ind w:right="12"/>
      <w:rPr>
        <w:rFonts w:ascii="Verdana" w:hAnsi="Verdana"/>
        <w:sz w:val="20"/>
      </w:rPr>
    </w:pPr>
  </w:p>
  <w:p w:rsidR="008F37D5" w:rsidRDefault="00C251FA">
    <w:pPr>
      <w:pStyle w:val="Kopfzeile"/>
      <w:ind w:right="12"/>
      <w:rPr>
        <w:rFonts w:ascii="Verdana" w:hAnsi="Verdana"/>
        <w:sz w:val="20"/>
      </w:rPr>
    </w:pPr>
  </w:p>
  <w:p w:rsidR="008F37D5" w:rsidRDefault="00C251FA">
    <w:pPr>
      <w:pStyle w:val="Kopfzeile"/>
      <w:ind w:right="12"/>
      <w:rPr>
        <w:rFonts w:ascii="Verdana" w:hAnsi="Verdana"/>
        <w:sz w:val="20"/>
      </w:rPr>
    </w:pPr>
  </w:p>
  <w:p w:rsidR="008F37D5" w:rsidRDefault="00C251FA">
    <w:pPr>
      <w:pStyle w:val="Kopfzeile"/>
      <w:ind w:right="12"/>
      <w:rPr>
        <w:rFonts w:ascii="Verdana" w:hAnsi="Verdana"/>
        <w:sz w:val="20"/>
      </w:rPr>
    </w:pPr>
  </w:p>
  <w:p w:rsidR="008F37D5" w:rsidRDefault="00C251FA">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33345"/>
    <w:rsid w:val="000453F9"/>
    <w:rsid w:val="00083B36"/>
    <w:rsid w:val="000A0822"/>
    <w:rsid w:val="000A1974"/>
    <w:rsid w:val="000A32BC"/>
    <w:rsid w:val="000A7B89"/>
    <w:rsid w:val="000B3BF8"/>
    <w:rsid w:val="000B470A"/>
    <w:rsid w:val="000B5865"/>
    <w:rsid w:val="000C02B1"/>
    <w:rsid w:val="000D1D02"/>
    <w:rsid w:val="000D2329"/>
    <w:rsid w:val="000D65E4"/>
    <w:rsid w:val="000D7D1F"/>
    <w:rsid w:val="000E49EE"/>
    <w:rsid w:val="000E537E"/>
    <w:rsid w:val="000E6946"/>
    <w:rsid w:val="000F2DC6"/>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9023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744E1"/>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27D2D"/>
    <w:rsid w:val="00361CF2"/>
    <w:rsid w:val="00362050"/>
    <w:rsid w:val="003627B5"/>
    <w:rsid w:val="00364DCD"/>
    <w:rsid w:val="00382198"/>
    <w:rsid w:val="00397A3F"/>
    <w:rsid w:val="00397AC4"/>
    <w:rsid w:val="003C6AAE"/>
    <w:rsid w:val="003D2799"/>
    <w:rsid w:val="003E43B4"/>
    <w:rsid w:val="003E4B96"/>
    <w:rsid w:val="003F74D0"/>
    <w:rsid w:val="00404468"/>
    <w:rsid w:val="00404C26"/>
    <w:rsid w:val="00432245"/>
    <w:rsid w:val="00441012"/>
    <w:rsid w:val="00441963"/>
    <w:rsid w:val="004442C8"/>
    <w:rsid w:val="0045071B"/>
    <w:rsid w:val="004547BF"/>
    <w:rsid w:val="00473340"/>
    <w:rsid w:val="00473E7D"/>
    <w:rsid w:val="004826F0"/>
    <w:rsid w:val="0048460D"/>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287E"/>
    <w:rsid w:val="00533F65"/>
    <w:rsid w:val="005346BE"/>
    <w:rsid w:val="00541D3C"/>
    <w:rsid w:val="00543110"/>
    <w:rsid w:val="00543C34"/>
    <w:rsid w:val="005448AB"/>
    <w:rsid w:val="00547D6D"/>
    <w:rsid w:val="005712FF"/>
    <w:rsid w:val="005A1926"/>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57E1"/>
    <w:rsid w:val="006A76CA"/>
    <w:rsid w:val="006C41D1"/>
    <w:rsid w:val="006C508C"/>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4F2F"/>
    <w:rsid w:val="00746469"/>
    <w:rsid w:val="00763E80"/>
    <w:rsid w:val="00765E37"/>
    <w:rsid w:val="00772C01"/>
    <w:rsid w:val="007747B6"/>
    <w:rsid w:val="00783A5E"/>
    <w:rsid w:val="007864F1"/>
    <w:rsid w:val="00786FF2"/>
    <w:rsid w:val="00787B3E"/>
    <w:rsid w:val="00791E09"/>
    <w:rsid w:val="007B067E"/>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124A"/>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96A04"/>
    <w:rsid w:val="009A05EE"/>
    <w:rsid w:val="009A1070"/>
    <w:rsid w:val="009B48FF"/>
    <w:rsid w:val="009B564D"/>
    <w:rsid w:val="009C0937"/>
    <w:rsid w:val="009C6B13"/>
    <w:rsid w:val="009E1E09"/>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A09F4"/>
    <w:rsid w:val="00AA2A8D"/>
    <w:rsid w:val="00AC2AE0"/>
    <w:rsid w:val="00AC7A23"/>
    <w:rsid w:val="00AD3E26"/>
    <w:rsid w:val="00AE1133"/>
    <w:rsid w:val="00AE43B7"/>
    <w:rsid w:val="00AF0A61"/>
    <w:rsid w:val="00AF1B7B"/>
    <w:rsid w:val="00B05F61"/>
    <w:rsid w:val="00B10383"/>
    <w:rsid w:val="00B1340F"/>
    <w:rsid w:val="00B139E4"/>
    <w:rsid w:val="00B351E3"/>
    <w:rsid w:val="00B3540F"/>
    <w:rsid w:val="00B45E40"/>
    <w:rsid w:val="00B461BD"/>
    <w:rsid w:val="00B466F2"/>
    <w:rsid w:val="00B65C34"/>
    <w:rsid w:val="00B6724A"/>
    <w:rsid w:val="00B67561"/>
    <w:rsid w:val="00B70B1A"/>
    <w:rsid w:val="00B71C6F"/>
    <w:rsid w:val="00B84EE5"/>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251FA"/>
    <w:rsid w:val="00C30C32"/>
    <w:rsid w:val="00C4636C"/>
    <w:rsid w:val="00C63B60"/>
    <w:rsid w:val="00C6770A"/>
    <w:rsid w:val="00C70F49"/>
    <w:rsid w:val="00C7427E"/>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87B66"/>
    <w:rsid w:val="00E93051"/>
    <w:rsid w:val="00E956C2"/>
    <w:rsid w:val="00E95777"/>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86DEB"/>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744F2F"/>
    <w:pPr>
      <w:tabs>
        <w:tab w:val="left" w:pos="851"/>
        <w:tab w:val="left" w:pos="8505"/>
      </w:tabs>
      <w:ind w:right="501"/>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19023D"/>
    <w:pPr>
      <w:tabs>
        <w:tab w:val="left" w:pos="0"/>
      </w:tabs>
      <w:spacing w:before="480" w:line="360" w:lineRule="auto"/>
      <w:ind w:right="74"/>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xing.com/companies/leonia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ages/LEONI-Group-official-profile/19314662739175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www.leoni.com/en/financial-publications/" TargetMode="External"/><Relationship Id="rId19" Type="http://schemas.openxmlformats.org/officeDocument/2006/relationships/hyperlink" Target="mailto:presse@leoni.com" TargetMode="External"/><Relationship Id="rId4" Type="http://schemas.microsoft.com/office/2007/relationships/stylesWithEffects" Target="stylesWithEffects.xml"/><Relationship Id="rId9" Type="http://schemas.openxmlformats.org/officeDocument/2006/relationships/hyperlink" Target="http://www.leoni.com/en/press/releases/details/leoni-boosts-its-sales-to-over-eur-2-billion-in-the-first-half-of-2014/" TargetMode="External"/><Relationship Id="rId14" Type="http://schemas.openxmlformats.org/officeDocument/2006/relationships/image" Target="media/image2.pn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17E6B-2DB2-464C-8319-CEDBF3CA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7051</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Relations Press Release</vt:lpstr>
      <vt:lpstr>Media Relations Medienmitteilungen</vt:lpstr>
    </vt:vector>
  </TitlesOfParts>
  <Manager>Sven Schmidt</Manager>
  <Company>LEONI</Company>
  <LinksUpToDate>false</LinksUpToDate>
  <CharactersWithSpaces>8154</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Press Release</dc:title>
  <dc:creator>Corporate Communications</dc:creator>
  <cp:lastModifiedBy>Schmidt, Sven</cp:lastModifiedBy>
  <cp:revision>5</cp:revision>
  <cp:lastPrinted>2014-08-11T08:25:00Z</cp:lastPrinted>
  <dcterms:created xsi:type="dcterms:W3CDTF">2014-08-11T07:56:00Z</dcterms:created>
  <dcterms:modified xsi:type="dcterms:W3CDTF">2014-08-11T08:26:00Z</dcterms:modified>
</cp:coreProperties>
</file>