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29" w:rsidRPr="00DA04DE" w:rsidRDefault="00E436DA" w:rsidP="00D47FA5">
      <w:pPr>
        <w:pStyle w:val="MMU1"/>
      </w:pPr>
      <w:bookmarkStart w:id="0" w:name="_GoBack"/>
      <w:bookmarkEnd w:id="0"/>
      <w:r w:rsidRPr="00DA04DE">
        <w:t xml:space="preserve">Leoni </w:t>
      </w:r>
      <w:r w:rsidR="00972FAA" w:rsidRPr="00DA04DE">
        <w:t>nach neun Monaten mit Umsatz- und Ergebnisplus</w:t>
      </w:r>
    </w:p>
    <w:p w:rsidR="003F74D0" w:rsidRPr="006F0BE8" w:rsidRDefault="00932404" w:rsidP="006F0BE8">
      <w:pPr>
        <w:pStyle w:val="MMU2"/>
      </w:pPr>
      <w:r>
        <w:t xml:space="preserve">Erlöse </w:t>
      </w:r>
      <w:r w:rsidR="00A34608">
        <w:t xml:space="preserve">mit knapp </w:t>
      </w:r>
      <w:r w:rsidR="00DA04DE" w:rsidRPr="00DA04DE">
        <w:t>3,1 Mrd. Euro</w:t>
      </w:r>
      <w:r w:rsidR="00F90C7F">
        <w:t xml:space="preserve"> </w:t>
      </w:r>
      <w:r w:rsidR="00A34608">
        <w:t xml:space="preserve">auf Rekordhöhe </w:t>
      </w:r>
      <w:r w:rsidR="00F90C7F">
        <w:t xml:space="preserve">– </w:t>
      </w:r>
      <w:r w:rsidR="00FC337A" w:rsidRPr="00DA04DE">
        <w:t xml:space="preserve">EBIT </w:t>
      </w:r>
      <w:r w:rsidR="00A34608">
        <w:t xml:space="preserve">steigt </w:t>
      </w:r>
      <w:r w:rsidR="00FC337A" w:rsidRPr="00DA04DE">
        <w:t xml:space="preserve">wegen Sonderbelastungen </w:t>
      </w:r>
      <w:r w:rsidR="00DA04DE" w:rsidRPr="00DA04DE">
        <w:t xml:space="preserve">nur </w:t>
      </w:r>
      <w:r w:rsidR="00A34608">
        <w:t xml:space="preserve">auf </w:t>
      </w:r>
      <w:r w:rsidR="00FC337A" w:rsidRPr="00DA04DE">
        <w:t>132,7 Mio. Euro</w:t>
      </w:r>
    </w:p>
    <w:p w:rsidR="00F53B35" w:rsidRDefault="008B1883" w:rsidP="00043ED1">
      <w:pPr>
        <w:pStyle w:val="MMVorspann"/>
      </w:pPr>
      <w:r>
        <w:t>Nürnberg</w:t>
      </w:r>
      <w:r w:rsidRPr="009A1070">
        <w:t xml:space="preserve">, </w:t>
      </w:r>
      <w:r w:rsidR="007950F6">
        <w:t>1</w:t>
      </w:r>
      <w:r w:rsidR="003D3901">
        <w:t>1</w:t>
      </w:r>
      <w:r w:rsidR="008239E1">
        <w:t xml:space="preserve">. </w:t>
      </w:r>
      <w:r w:rsidR="003D3901">
        <w:t xml:space="preserve">November </w:t>
      </w:r>
      <w:r w:rsidRPr="009A1070">
        <w:t>20</w:t>
      </w:r>
      <w:r>
        <w:t>1</w:t>
      </w:r>
      <w:r w:rsidR="003B48A6">
        <w:t>4</w:t>
      </w:r>
      <w:r w:rsidRPr="009A1070">
        <w:t xml:space="preserve"> – </w:t>
      </w:r>
      <w:r>
        <w:t>Leoni</w:t>
      </w:r>
      <w:r w:rsidR="003D3901">
        <w:t>,</w:t>
      </w:r>
      <w:r w:rsidR="007950F6">
        <w:t xml:space="preserve"> </w:t>
      </w:r>
      <w:r w:rsidR="00A34608">
        <w:t xml:space="preserve">der </w:t>
      </w:r>
      <w:r w:rsidR="003D3901" w:rsidRPr="0099285A">
        <w:t xml:space="preserve">führende </w:t>
      </w:r>
      <w:r w:rsidR="003D3901">
        <w:t xml:space="preserve">europäische Anbieter von </w:t>
      </w:r>
      <w:r w:rsidR="003D3901" w:rsidRPr="0099285A">
        <w:t>Kabel</w:t>
      </w:r>
      <w:r w:rsidR="003D3901">
        <w:t>n und Kabels</w:t>
      </w:r>
      <w:r w:rsidR="003D3901" w:rsidRPr="0099285A">
        <w:t>ystem</w:t>
      </w:r>
      <w:r w:rsidR="003D3901">
        <w:t>en</w:t>
      </w:r>
      <w:r w:rsidR="003D3901" w:rsidRPr="0099285A">
        <w:t xml:space="preserve"> für die Automobil</w:t>
      </w:r>
      <w:r w:rsidR="003D3901">
        <w:t>branche</w:t>
      </w:r>
      <w:r w:rsidR="003D3901" w:rsidRPr="0099285A">
        <w:t xml:space="preserve"> und weitere Industrien</w:t>
      </w:r>
      <w:r w:rsidR="003D3901">
        <w:t xml:space="preserve">, steigerte den </w:t>
      </w:r>
      <w:r w:rsidR="008239E1">
        <w:t xml:space="preserve">Konzernumsatz in den ersten </w:t>
      </w:r>
      <w:r w:rsidR="003D3901">
        <w:t xml:space="preserve">neun Monaten 2014 </w:t>
      </w:r>
      <w:r w:rsidR="008239E1">
        <w:t>gegenüber dem e</w:t>
      </w:r>
      <w:r w:rsidR="008D5725">
        <w:t>ntsprechenden Vorjahreszeitraum</w:t>
      </w:r>
      <w:r w:rsidR="00E716E4">
        <w:t xml:space="preserve"> um </w:t>
      </w:r>
      <w:r w:rsidR="003D3901">
        <w:t xml:space="preserve">mehr als 4 Prozent auf 3.053,4 Mio. Euro </w:t>
      </w:r>
      <w:r w:rsidR="008239E1">
        <w:t xml:space="preserve">(Vorjahr: </w:t>
      </w:r>
      <w:r w:rsidR="003D3901">
        <w:t>2.928,0</w:t>
      </w:r>
      <w:r w:rsidR="008239E1">
        <w:t xml:space="preserve"> Mio. Euro)</w:t>
      </w:r>
      <w:r w:rsidR="003D3901">
        <w:t xml:space="preserve">. Im dritten </w:t>
      </w:r>
      <w:r w:rsidR="00972FAA">
        <w:t>Q</w:t>
      </w:r>
      <w:r w:rsidR="003D3901">
        <w:t xml:space="preserve">uartal </w:t>
      </w:r>
      <w:r w:rsidR="00972FAA">
        <w:t>nahm</w:t>
      </w:r>
      <w:r w:rsidR="003D3901">
        <w:t xml:space="preserve"> das Geschäftsvolumen </w:t>
      </w:r>
      <w:r w:rsidR="00972FAA">
        <w:t>um fast 6 Prozent auf 1.</w:t>
      </w:r>
      <w:r w:rsidR="00DA04DE">
        <w:t>0</w:t>
      </w:r>
      <w:r w:rsidR="00972FAA">
        <w:t xml:space="preserve">13,8 Mio. Euro zu </w:t>
      </w:r>
      <w:r w:rsidR="008239E1">
        <w:t xml:space="preserve">(Vorjahr: </w:t>
      </w:r>
      <w:r w:rsidR="00972FAA">
        <w:t>957,9</w:t>
      </w:r>
      <w:r w:rsidR="008239E1">
        <w:t xml:space="preserve"> Mio. Euro). </w:t>
      </w:r>
      <w:r w:rsidR="00972FAA">
        <w:t xml:space="preserve">Sowohl </w:t>
      </w:r>
      <w:r w:rsidR="00673FE0">
        <w:t>in</w:t>
      </w:r>
      <w:r w:rsidR="00972FAA">
        <w:t xml:space="preserve"> der weltweiten Fahrzeugbranche als auch in vielen für Leoni wichtigen Industrie</w:t>
      </w:r>
      <w:r w:rsidR="00A34608">
        <w:t>-</w:t>
      </w:r>
      <w:r w:rsidR="00972FAA">
        <w:t xml:space="preserve">bereichen </w:t>
      </w:r>
      <w:r w:rsidR="00E716E4">
        <w:t xml:space="preserve">hielt die gute </w:t>
      </w:r>
      <w:r w:rsidR="00972FAA">
        <w:t xml:space="preserve">Nachfrage </w:t>
      </w:r>
      <w:r w:rsidR="00E716E4">
        <w:t>an.</w:t>
      </w:r>
      <w:r w:rsidR="00972FAA">
        <w:t xml:space="preserve"> </w:t>
      </w:r>
      <w:r w:rsidR="004C2B81" w:rsidRPr="00E564A7">
        <w:t xml:space="preserve">Das Konzernergebnis vor Zinsen und Steuern (EBIT) </w:t>
      </w:r>
      <w:r w:rsidR="00F53B35">
        <w:t xml:space="preserve">war von außerplanmäßigen Kosten im Bordnetz-Bereich belastet. Im dritten Quartal 2014 ging es deshalb </w:t>
      </w:r>
      <w:r w:rsidR="00DA04DE">
        <w:t>auf 34,7 Mio. Euro zurück nach</w:t>
      </w:r>
      <w:r w:rsidR="00F53B35">
        <w:t xml:space="preserve"> 36,5 Mio. Euro in der Vorjahresperiode. In den ersten neun Monaten </w:t>
      </w:r>
      <w:r w:rsidR="00DA04DE">
        <w:t xml:space="preserve">2014 </w:t>
      </w:r>
      <w:r w:rsidR="00FC337A">
        <w:t xml:space="preserve">belief sich </w:t>
      </w:r>
      <w:r w:rsidR="00F53B35">
        <w:t xml:space="preserve">das EBIT auf 132,7 Mio. Euro </w:t>
      </w:r>
      <w:r w:rsidR="008D5725">
        <w:t xml:space="preserve">(Vorjahr: 114,3 Mio. Euro) </w:t>
      </w:r>
      <w:r w:rsidR="00F53B35">
        <w:t xml:space="preserve">und </w:t>
      </w:r>
      <w:r w:rsidR="00FC337A">
        <w:t xml:space="preserve">stieg </w:t>
      </w:r>
      <w:r w:rsidR="00F53B35">
        <w:t xml:space="preserve">damit weniger stark als erwartet. Der 2013er Vergleichswert hatte hohe Restrukturierungsaufwendungen enthalten. Der Konzernüberschuss </w:t>
      </w:r>
      <w:r w:rsidR="00A34608">
        <w:t xml:space="preserve">kletterte </w:t>
      </w:r>
      <w:r w:rsidR="00E716E4">
        <w:t xml:space="preserve">per Ende September 2014 um rund 21 Prozent auf 77,5 Mio. Euro (Vorjahr: 64,1 Mio. Euro). </w:t>
      </w:r>
    </w:p>
    <w:p w:rsidR="00043ED1" w:rsidRPr="00B9153B" w:rsidRDefault="00B9153B" w:rsidP="00B9153B">
      <w:pPr>
        <w:pStyle w:val="MMFlietext"/>
      </w:pPr>
      <w:r w:rsidRPr="00B9153B">
        <w:t xml:space="preserve">Aufgrund der </w:t>
      </w:r>
      <w:r w:rsidR="00745E2C" w:rsidRPr="00B9153B">
        <w:t xml:space="preserve">Geschäftsausweitung, </w:t>
      </w:r>
      <w:r w:rsidRPr="00B9153B">
        <w:t xml:space="preserve">zahlreicher Neuanläufe und des </w:t>
      </w:r>
      <w:r w:rsidR="008D5725">
        <w:t>bevor</w:t>
      </w:r>
      <w:r w:rsidR="00F40C2E">
        <w:t>-</w:t>
      </w:r>
      <w:r w:rsidR="008D5725">
        <w:t xml:space="preserve">stehenden </w:t>
      </w:r>
      <w:r w:rsidRPr="00B9153B">
        <w:t xml:space="preserve">Wachstums erhöhten sich in den ersten </w:t>
      </w:r>
      <w:r w:rsidR="003545FC">
        <w:t>drei Quartalen</w:t>
      </w:r>
      <w:r w:rsidRPr="00B9153B">
        <w:t xml:space="preserve"> 2014 auch die Investitionen und die Beschäftigtenzahl </w:t>
      </w:r>
      <w:r w:rsidR="008D5725">
        <w:t>des</w:t>
      </w:r>
      <w:r w:rsidRPr="00B9153B">
        <w:t xml:space="preserve"> Leoni</w:t>
      </w:r>
      <w:r w:rsidR="008D5725">
        <w:t>-Konzerns</w:t>
      </w:r>
      <w:r w:rsidRPr="00B9153B">
        <w:t xml:space="preserve">: Das Investitionsvolumen stieg im Vorjahresvergleich </w:t>
      </w:r>
      <w:r w:rsidR="008D5725">
        <w:t xml:space="preserve">deutlich </w:t>
      </w:r>
      <w:r w:rsidRPr="00B9153B">
        <w:t xml:space="preserve">von 95,2 Mio. Euro auf 140,2 Mio. Euro, </w:t>
      </w:r>
      <w:r w:rsidR="008D5725">
        <w:t xml:space="preserve">hauptsächlich durch </w:t>
      </w:r>
      <w:r w:rsidRPr="00B9153B">
        <w:t xml:space="preserve">Kapazitätserweiterungen in Asien, Amerika und Osteuropa. </w:t>
      </w:r>
      <w:r w:rsidR="00221934">
        <w:t>Die Konzernbelegschaft vergrößer</w:t>
      </w:r>
      <w:r w:rsidR="003545FC">
        <w:t xml:space="preserve">te sich </w:t>
      </w:r>
      <w:r w:rsidR="00DA04DE">
        <w:t>in den ersten neun Monaten</w:t>
      </w:r>
      <w:r w:rsidR="003545FC">
        <w:t xml:space="preserve"> </w:t>
      </w:r>
      <w:r w:rsidR="00221934">
        <w:t>gegenüber dem Jahreswechsel um 5.800 Personen auf 67.</w:t>
      </w:r>
      <w:r w:rsidR="00F40C2E">
        <w:t>391</w:t>
      </w:r>
      <w:r w:rsidR="00221934">
        <w:t xml:space="preserve"> Mitarbeiter (31.12.2013: 61.591 Personen). Neueinstellungen gab es vor allem an Standorten in Asien, Amerika, Nordafrika und Osteuropa. In Deutschland erhöhte sich die Mitarbeiterzahl um 73 auf 4.295 Personen.</w:t>
      </w:r>
    </w:p>
    <w:p w:rsidR="004F499C" w:rsidRPr="003334F3" w:rsidRDefault="00153609" w:rsidP="003334F3">
      <w:pPr>
        <w:pStyle w:val="MMZwischenberschrift"/>
      </w:pPr>
      <w:proofErr w:type="spellStart"/>
      <w:r w:rsidRPr="003334F3">
        <w:lastRenderedPageBreak/>
        <w:t>Wiring</w:t>
      </w:r>
      <w:proofErr w:type="spellEnd"/>
      <w:r w:rsidRPr="003334F3">
        <w:t xml:space="preserve"> Systems: </w:t>
      </w:r>
      <w:r w:rsidR="00E716E4" w:rsidRPr="003334F3">
        <w:t xml:space="preserve">Ungeplante Anlaufkosten </w:t>
      </w:r>
    </w:p>
    <w:p w:rsidR="003334F3" w:rsidRDefault="009A680F" w:rsidP="003334F3">
      <w:pPr>
        <w:pStyle w:val="MMFlietext"/>
      </w:pPr>
      <w:r>
        <w:t>D</w:t>
      </w:r>
      <w:r w:rsidR="006D0285">
        <w:t xml:space="preserve">er </w:t>
      </w:r>
      <w:r w:rsidR="00E716E4">
        <w:t xml:space="preserve">Unternehmensbereich </w:t>
      </w:r>
      <w:proofErr w:type="spellStart"/>
      <w:r w:rsidR="00E716E4">
        <w:t>Wiring</w:t>
      </w:r>
      <w:proofErr w:type="spellEnd"/>
      <w:r w:rsidR="00E716E4">
        <w:t xml:space="preserve"> Systems konnte den </w:t>
      </w:r>
      <w:r w:rsidR="006D0285">
        <w:t xml:space="preserve">Umsatz </w:t>
      </w:r>
      <w:r w:rsidR="008B6D44">
        <w:t xml:space="preserve">mit Bordnetz-Systemen und Kabelsätzen </w:t>
      </w:r>
      <w:r w:rsidR="00E716E4">
        <w:t xml:space="preserve">für die </w:t>
      </w:r>
      <w:r w:rsidR="00C45D5C">
        <w:t xml:space="preserve">Fahrzeugindustrie im Quartalsvergleich um rund 4 Prozent auf 576,5 Mio. Euro (Vorjahr: 552,2 Mio. Euro) und im Neunmonatszeitraum um knapp 3 Prozent auf 1.771,9 Mio. Euro ausbauen (Vorjahr: </w:t>
      </w:r>
      <w:r w:rsidR="00043ED1">
        <w:t xml:space="preserve">1.727,5 </w:t>
      </w:r>
      <w:r w:rsidR="00C45D5C">
        <w:t xml:space="preserve">Mio. Euro). Zuwächse erzielte Leoni hier vor allem mit Lieferungen an die exportstarken deutschen Automobilhersteller, die internationale Nutzfahrzeugindustrie sowie im Bereich Power Sports, also bei Freizeit- und Sportfahrzeugen. Das </w:t>
      </w:r>
      <w:r w:rsidR="00153609">
        <w:t>Segment-</w:t>
      </w:r>
      <w:r w:rsidR="00C45D5C">
        <w:t>E</w:t>
      </w:r>
      <w:r w:rsidR="00153609">
        <w:t>BIT</w:t>
      </w:r>
      <w:r w:rsidR="00C45D5C">
        <w:t xml:space="preserve"> nahm von Juli bis September 2014 </w:t>
      </w:r>
      <w:r w:rsidR="00F338BC">
        <w:t xml:space="preserve">auf 11,7 Mio. Euro (Vorjahr: 17,4 Mio. Euro) und in den ersten drei Quartalen insgesamt auf 69,8 Mio. Euro ab (Vorjahr: 76,3 Mio. Euro). Ursächlich dafür waren </w:t>
      </w:r>
      <w:r w:rsidR="008D5725">
        <w:t>im Wesentlichen</w:t>
      </w:r>
      <w:r w:rsidR="00F338BC">
        <w:t xml:space="preserve"> ungeplante Sonderbelastungen im Zusamm</w:t>
      </w:r>
      <w:r w:rsidR="00DA04DE">
        <w:t>enhang mit einem umfangreichen Pro</w:t>
      </w:r>
      <w:r w:rsidR="00153609">
        <w:t>jekt</w:t>
      </w:r>
      <w:r w:rsidR="00DA04DE">
        <w:t>n</w:t>
      </w:r>
      <w:r w:rsidR="00F338BC">
        <w:t>euanlauf</w:t>
      </w:r>
      <w:r w:rsidR="00DA04DE">
        <w:t>:</w:t>
      </w:r>
      <w:r w:rsidR="00F338BC">
        <w:t xml:space="preserve"> Durch die Umstellung auf die komplexe Fertigung von kundenspezifischen Bordnetz-Systemen an einem Standort in Mexiko kam es zu unerwartet großem Personalbedarf, hohen Ausschussquoten und zusätzlichen Luftfrachtkosten. Die </w:t>
      </w:r>
      <w:r w:rsidR="00DA04DE">
        <w:t>i</w:t>
      </w:r>
      <w:r w:rsidR="00F338BC">
        <w:t xml:space="preserve">n diesem </w:t>
      </w:r>
      <w:r w:rsidR="00DA04DE">
        <w:t>Werk</w:t>
      </w:r>
      <w:r w:rsidR="00F338BC">
        <w:t xml:space="preserve"> eingeleiteten Gegenmaßnahmen zeigten ab September</w:t>
      </w:r>
      <w:r w:rsidR="00932404">
        <w:t xml:space="preserve"> nachhaltig</w:t>
      </w:r>
      <w:r w:rsidR="00F338BC">
        <w:t xml:space="preserve"> Wirkung</w:t>
      </w:r>
      <w:r w:rsidR="00F35950">
        <w:t>.</w:t>
      </w:r>
    </w:p>
    <w:p w:rsidR="008B6D44" w:rsidRPr="001877AF" w:rsidRDefault="008B6D44" w:rsidP="003334F3">
      <w:pPr>
        <w:pStyle w:val="MMZwischenberschrift"/>
      </w:pPr>
      <w:proofErr w:type="spellStart"/>
      <w:r w:rsidRPr="001877AF">
        <w:t>Wire</w:t>
      </w:r>
      <w:proofErr w:type="spellEnd"/>
      <w:r w:rsidRPr="001877AF">
        <w:t xml:space="preserve"> &amp; Cable Solutions</w:t>
      </w:r>
      <w:r w:rsidR="00153609">
        <w:t xml:space="preserve">: </w:t>
      </w:r>
      <w:r w:rsidR="004D6078">
        <w:t>Ertragskraft</w:t>
      </w:r>
      <w:r w:rsidR="00153609">
        <w:t xml:space="preserve"> gesteigert</w:t>
      </w:r>
    </w:p>
    <w:p w:rsidR="005B4F46" w:rsidRDefault="00C00B77" w:rsidP="00E564A7">
      <w:pPr>
        <w:pStyle w:val="MMFlietext"/>
      </w:pPr>
      <w:r>
        <w:t xml:space="preserve">Im </w:t>
      </w:r>
      <w:r w:rsidR="004D6078">
        <w:t>Segment</w:t>
      </w:r>
      <w:r w:rsidR="008B6D44">
        <w:t xml:space="preserve"> </w:t>
      </w:r>
      <w:proofErr w:type="spellStart"/>
      <w:r w:rsidR="008B6D44">
        <w:t>Wire</w:t>
      </w:r>
      <w:proofErr w:type="spellEnd"/>
      <w:r w:rsidR="008B6D44">
        <w:t xml:space="preserve"> &amp; Cable Solutions </w:t>
      </w:r>
      <w:r>
        <w:t xml:space="preserve">legte der Umsatz </w:t>
      </w:r>
      <w:r w:rsidR="005B4F46">
        <w:t xml:space="preserve">im dritten Quartal </w:t>
      </w:r>
      <w:r w:rsidR="003545FC">
        <w:t xml:space="preserve">2014 </w:t>
      </w:r>
      <w:r w:rsidR="005B4F46">
        <w:t xml:space="preserve">um fast 8 Prozent auf 437,3 Mio. Euro (Vorjahr: 405,8 Mio. Euro) und von Januar bis September um rund 7 Prozent auf 1.281,5 Mio. Euro (Vorjahr: </w:t>
      </w:r>
      <w:r w:rsidR="00043ED1">
        <w:t xml:space="preserve">1.200,4 </w:t>
      </w:r>
      <w:r w:rsidR="005B4F46">
        <w:t xml:space="preserve">Mio. Euro) zu. Dabei stieg vor allem die Nachfrage nach Standard- und Spezialleitungen für die Automobilindustrie sowie nach </w:t>
      </w:r>
      <w:r w:rsidR="00153609">
        <w:t>Produkten</w:t>
      </w:r>
      <w:r w:rsidR="005B4F46">
        <w:t xml:space="preserve"> für die Medizintechni</w:t>
      </w:r>
      <w:r w:rsidR="008D5725">
        <w:t xml:space="preserve">k und die Robotik. </w:t>
      </w:r>
      <w:r w:rsidR="005B4F46">
        <w:t xml:space="preserve">Das Wachstum und die positiven Auswirkungen der im Vorjahr umgesetzten Restrukturierungsmaßnahmen führten im dritten Quartal zu einem Ergebnisplus </w:t>
      </w:r>
      <w:r w:rsidR="00153609">
        <w:t>von</w:t>
      </w:r>
      <w:r w:rsidR="005B4F46">
        <w:t xml:space="preserve"> circa 20 Prozent auf 23,1 Mio. Euro (Vorjahr: 19,2</w:t>
      </w:r>
      <w:r w:rsidR="00DA04DE">
        <w:t xml:space="preserve"> Mio. Euro</w:t>
      </w:r>
      <w:r w:rsidR="005B4F46">
        <w:t xml:space="preserve">). Nach neun Monaten lag das EBIT mit 62,9 Mio. Euro (Vorjahr: </w:t>
      </w:r>
      <w:r w:rsidR="008D5725">
        <w:t>38,0 Mio. Euro</w:t>
      </w:r>
      <w:r w:rsidR="00FC337A">
        <w:t xml:space="preserve">) </w:t>
      </w:r>
      <w:r w:rsidR="005B4F46">
        <w:t xml:space="preserve">um rund zwei Drittel über dem 2013er Vergleichsniveau, wobei im Vorjahr hohe Restrukturierungsaufwendungen enthalten waren. </w:t>
      </w:r>
      <w:r w:rsidR="004D6078">
        <w:t xml:space="preserve">Mit dem im dritten Quartal 2014 aufgelegten Programm „WCS </w:t>
      </w:r>
      <w:r w:rsidR="004D6078">
        <w:lastRenderedPageBreak/>
        <w:t xml:space="preserve">ON Excellence“ soll die Profitabilität und globale Aufstellung des Unternehmensbereichs </w:t>
      </w:r>
      <w:proofErr w:type="spellStart"/>
      <w:r w:rsidR="004D6078">
        <w:t>Wire</w:t>
      </w:r>
      <w:proofErr w:type="spellEnd"/>
      <w:r w:rsidR="004D6078">
        <w:t xml:space="preserve"> &amp; Cable Solutions weiter verbessert werden. </w:t>
      </w:r>
    </w:p>
    <w:p w:rsidR="00575181" w:rsidRPr="00366D0B" w:rsidRDefault="00153609" w:rsidP="00977E9C">
      <w:pPr>
        <w:pStyle w:val="MMZwischenberschrift"/>
      </w:pPr>
      <w:r>
        <w:t>Prognose</w:t>
      </w:r>
      <w:r w:rsidR="001068DE">
        <w:t xml:space="preserve"> 2014</w:t>
      </w:r>
      <w:r>
        <w:t>: Ca.</w:t>
      </w:r>
      <w:r w:rsidR="008D5725">
        <w:t xml:space="preserve"> </w:t>
      </w:r>
      <w:r w:rsidR="0041404A">
        <w:t>4,1 Mrd. Euro Umsatz</w:t>
      </w:r>
      <w:r>
        <w:t xml:space="preserve">, </w:t>
      </w:r>
      <w:r w:rsidR="008D5725">
        <w:t>m</w:t>
      </w:r>
      <w:r w:rsidR="00007DB0">
        <w:t>ehr als</w:t>
      </w:r>
      <w:r w:rsidR="008D5725">
        <w:t xml:space="preserve"> </w:t>
      </w:r>
      <w:r w:rsidR="0041404A" w:rsidRPr="00007DB0">
        <w:t>180 Mio. Euro EBIT</w:t>
      </w:r>
    </w:p>
    <w:p w:rsidR="00984C88" w:rsidRDefault="00984C88" w:rsidP="00E564A7">
      <w:pPr>
        <w:pStyle w:val="MMFlietext"/>
      </w:pPr>
      <w:r>
        <w:t xml:space="preserve">Für das </w:t>
      </w:r>
      <w:r w:rsidR="0041404A">
        <w:t>Gesamtjahr 2014 rechnet L</w:t>
      </w:r>
      <w:r w:rsidR="00DA04DE">
        <w:t>eoni</w:t>
      </w:r>
      <w:r w:rsidR="0041404A">
        <w:t xml:space="preserve"> </w:t>
      </w:r>
      <w:r w:rsidR="00DA04DE">
        <w:t>unverändert</w:t>
      </w:r>
      <w:r w:rsidR="0041404A">
        <w:t xml:space="preserve"> mit einem Konzernumsatz von </w:t>
      </w:r>
      <w:r>
        <w:t xml:space="preserve">circa </w:t>
      </w:r>
      <w:r w:rsidR="0041404A">
        <w:t xml:space="preserve">4,1 Mrd. Euro (Vorjahr: 3,92 Mrd. Euro). Hiervon entfallen voraussichtlich </w:t>
      </w:r>
      <w:r>
        <w:t xml:space="preserve">rund </w:t>
      </w:r>
      <w:r w:rsidR="0041404A">
        <w:t xml:space="preserve">2,4 Mrd. Euro (Vorjahr: 2,3 Mrd. Euro) auf den Unternehmensbereich </w:t>
      </w:r>
      <w:proofErr w:type="spellStart"/>
      <w:r w:rsidR="0041404A">
        <w:t>Wiring</w:t>
      </w:r>
      <w:proofErr w:type="spellEnd"/>
      <w:r w:rsidR="0041404A">
        <w:t xml:space="preserve"> Systems und </w:t>
      </w:r>
      <w:r>
        <w:t xml:space="preserve">circa </w:t>
      </w:r>
      <w:r w:rsidR="0041404A">
        <w:t xml:space="preserve">1,7 Mrd. Euro (Vorjahr: 1,6 Mrd. Euro) auf </w:t>
      </w:r>
      <w:r>
        <w:t xml:space="preserve">das Segment </w:t>
      </w:r>
      <w:proofErr w:type="spellStart"/>
      <w:r>
        <w:t>Wire</w:t>
      </w:r>
      <w:proofErr w:type="spellEnd"/>
      <w:r>
        <w:t xml:space="preserve"> &amp; Cable Solutions. Das Konzernergebnis vor Zinsen und Steuern wird aus heutiger Sicht auf </w:t>
      </w:r>
      <w:r w:rsidR="00BD5027">
        <w:t xml:space="preserve">mehr als </w:t>
      </w:r>
      <w:r>
        <w:t xml:space="preserve">180 Mio. Euro steigen (Vorjahr: 163,1 Mio. Euro) und damit, wie bereits Mitte Oktober gemeldet, </w:t>
      </w:r>
      <w:r w:rsidR="00673FE0">
        <w:t>unter den ursprünglich erwarteten 200 Mio. € liegen.</w:t>
      </w:r>
      <w:r>
        <w:t xml:space="preserve"> Der Unternehmensbereich </w:t>
      </w:r>
      <w:proofErr w:type="spellStart"/>
      <w:r>
        <w:t>Wiring</w:t>
      </w:r>
      <w:proofErr w:type="spellEnd"/>
      <w:r>
        <w:t xml:space="preserve"> Systems </w:t>
      </w:r>
      <w:r w:rsidR="008D5725">
        <w:t>kann</w:t>
      </w:r>
      <w:r>
        <w:t xml:space="preserve"> die Einbußen aus dem </w:t>
      </w:r>
      <w:r w:rsidR="001068DE">
        <w:t xml:space="preserve">zweiten und </w:t>
      </w:r>
      <w:r>
        <w:t xml:space="preserve">dritten Quartal bis zum Jahresende nicht mehr aufholen und </w:t>
      </w:r>
      <w:r w:rsidR="008D5725">
        <w:t xml:space="preserve">dürfte </w:t>
      </w:r>
      <w:r>
        <w:t xml:space="preserve">im Gesamtjahr ein EBIT von mindestens 100 Mio. Euro (Vorjahr: 116,1 Mio. Euro) erzielen. Im Segment </w:t>
      </w:r>
      <w:proofErr w:type="spellStart"/>
      <w:r>
        <w:t>Wire</w:t>
      </w:r>
      <w:proofErr w:type="spellEnd"/>
      <w:r>
        <w:t xml:space="preserve"> &amp; Cable Solutions wird </w:t>
      </w:r>
      <w:r w:rsidR="00DA04DE">
        <w:t>weiterhin</w:t>
      </w:r>
      <w:r w:rsidR="003545FC">
        <w:t xml:space="preserve"> </w:t>
      </w:r>
      <w:r>
        <w:t xml:space="preserve">mit einem Ergebnisanstieg auf mehr als 80 Mio. Euro (Vorjahr: 47,1 Mio. Euro) gerechnet. </w:t>
      </w:r>
    </w:p>
    <w:p w:rsidR="00E844A7" w:rsidRDefault="008D5725" w:rsidP="00E564A7">
      <w:pPr>
        <w:pStyle w:val="MMFlietext"/>
      </w:pPr>
      <w:r>
        <w:t>F</w:t>
      </w:r>
      <w:r w:rsidR="00E844A7">
        <w:t xml:space="preserve">ür die kommenden Jahre </w:t>
      </w:r>
      <w:r>
        <w:t xml:space="preserve">ist Leoni </w:t>
      </w:r>
      <w:r w:rsidR="003545FC">
        <w:t xml:space="preserve">nach wie vor </w:t>
      </w:r>
      <w:r w:rsidR="00E844A7">
        <w:t>zuversichtlich</w:t>
      </w:r>
      <w:r w:rsidR="00F35950">
        <w:t>.</w:t>
      </w:r>
      <w:r w:rsidR="00E844A7">
        <w:t xml:space="preserve"> 2015 wird </w:t>
      </w:r>
      <w:r>
        <w:t>das Unternehmen</w:t>
      </w:r>
      <w:r w:rsidR="00E844A7">
        <w:t xml:space="preserve"> aus heutiger Sicht beim Umsatz und vor allem beim Ergebnis weiter zulegen. Für 2016 wird </w:t>
      </w:r>
      <w:r w:rsidR="00F35950">
        <w:t xml:space="preserve">weiterhin </w:t>
      </w:r>
      <w:r w:rsidR="00E844A7">
        <w:t xml:space="preserve">ein Umsatz von 5 Mrd. Euro und eine EBIT-Marge von 7 Prozent erwartet. </w:t>
      </w:r>
      <w:r w:rsidR="00F35950">
        <w:t>Diese Prognose gilt unter der Annahme, dass</w:t>
      </w:r>
      <w:r w:rsidR="00F35950" w:rsidRPr="00F35950">
        <w:t xml:space="preserve"> </w:t>
      </w:r>
      <w:r w:rsidR="00F35950">
        <w:t>sich das konjunkturelle Umfeld nicht wesentlich ver</w:t>
      </w:r>
      <w:r w:rsidR="00851AC3">
        <w:t>ändert</w:t>
      </w:r>
      <w:r w:rsidR="00F35950">
        <w:t>.</w:t>
      </w:r>
    </w:p>
    <w:p w:rsidR="00A078DC" w:rsidRPr="00F32737" w:rsidRDefault="005456EE" w:rsidP="00E564A7">
      <w:pPr>
        <w:pStyle w:val="MMFlietext"/>
        <w:rPr>
          <w:i/>
        </w:rPr>
      </w:pPr>
      <w:r w:rsidRPr="001068DE">
        <w:rPr>
          <w:i/>
        </w:rPr>
        <w:t>(</w:t>
      </w:r>
      <w:r w:rsidR="001068DE" w:rsidRPr="001068DE">
        <w:rPr>
          <w:i/>
        </w:rPr>
        <w:t>5.6</w:t>
      </w:r>
      <w:r w:rsidR="00AF0583">
        <w:rPr>
          <w:i/>
        </w:rPr>
        <w:t>31</w:t>
      </w:r>
      <w:r w:rsidRPr="001068DE">
        <w:rPr>
          <w:i/>
        </w:rPr>
        <w:t xml:space="preserve"> Anschläge inkl. Leerzeichen)</w:t>
      </w:r>
    </w:p>
    <w:p w:rsidR="00A078DC" w:rsidRDefault="00A078DC" w:rsidP="00E564A7">
      <w:pPr>
        <w:pStyle w:val="MMFlietext"/>
      </w:pPr>
    </w:p>
    <w:p w:rsidR="004A2C7B" w:rsidRDefault="004A2C7B" w:rsidP="00E564A7">
      <w:pPr>
        <w:pStyle w:val="MMFlietext"/>
      </w:pPr>
    </w:p>
    <w:p w:rsidR="001068DE" w:rsidRDefault="001068DE">
      <w:pPr>
        <w:rPr>
          <w:rFonts w:ascii="Arial" w:hAnsi="Arial" w:cs="Arial"/>
          <w:b/>
          <w:color w:val="112E6B"/>
          <w:sz w:val="20"/>
          <w:szCs w:val="20"/>
        </w:rPr>
      </w:pPr>
      <w:r>
        <w:br w:type="page"/>
      </w:r>
    </w:p>
    <w:p w:rsidR="000728B5" w:rsidRDefault="000728B5" w:rsidP="00D20316">
      <w:pPr>
        <w:pStyle w:val="MMKurzprofilberschrift"/>
      </w:pPr>
      <w:r>
        <w:lastRenderedPageBreak/>
        <w:t>Leoni-Konzernzahlen im Überblick</w:t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6"/>
        <w:gridCol w:w="802"/>
        <w:gridCol w:w="803"/>
        <w:gridCol w:w="804"/>
        <w:gridCol w:w="803"/>
        <w:gridCol w:w="803"/>
        <w:gridCol w:w="804"/>
      </w:tblGrid>
      <w:tr w:rsidR="000728B5" w:rsidTr="003A2734"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B5" w:rsidRDefault="000728B5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Kennzahlen Konzern</w:t>
            </w:r>
          </w:p>
          <w:p w:rsidR="000728B5" w:rsidRDefault="000728B5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B5" w:rsidRDefault="00043ED1" w:rsidP="00043ED1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0728B5">
              <w:rPr>
                <w:rFonts w:ascii="Arial" w:hAnsi="Arial" w:cs="Arial"/>
                <w:b/>
                <w:sz w:val="18"/>
                <w:szCs w:val="18"/>
              </w:rPr>
              <w:t>. Quartal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5" w:rsidRDefault="000728B5" w:rsidP="00043ED1">
            <w:pPr>
              <w:tabs>
                <w:tab w:val="left" w:pos="8505"/>
              </w:tabs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043ED1">
              <w:rPr>
                <w:rFonts w:ascii="Arial" w:hAnsi="Arial" w:cs="Arial"/>
                <w:b/>
                <w:sz w:val="18"/>
                <w:szCs w:val="18"/>
              </w:rPr>
              <w:t>– 3. Quartal</w:t>
            </w:r>
          </w:p>
        </w:tc>
      </w:tr>
      <w:tr w:rsidR="000728B5" w:rsidTr="003A2734"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B5" w:rsidRDefault="000728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8B5" w:rsidRDefault="000728B5" w:rsidP="000728B5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B5" w:rsidRDefault="000728B5" w:rsidP="000728B5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B5" w:rsidRDefault="000728B5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Veränd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5" w:rsidRDefault="000728B5" w:rsidP="000728B5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5" w:rsidRDefault="000728B5" w:rsidP="000728B5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B5" w:rsidRDefault="000728B5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Veränd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0728B5" w:rsidTr="00043ED1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B5" w:rsidRDefault="000728B5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Umsatzerlöse [M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io. 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1.013,8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957,9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5,8 %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3.053,4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2.928,0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5" w:rsidRDefault="00043ED1" w:rsidP="004152A9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4,3 %</w:t>
            </w:r>
          </w:p>
        </w:tc>
      </w:tr>
      <w:tr w:rsidR="000728B5" w:rsidTr="00043ED1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B5" w:rsidRDefault="000728B5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Ergebnis vor Zinsen, Steuern und Abschreibungen (EBITDA) [Mio.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67,1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66,6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0,7 %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225,6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204,4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10,4 %</w:t>
            </w:r>
          </w:p>
        </w:tc>
      </w:tr>
      <w:tr w:rsidR="000728B5" w:rsidTr="00043ED1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B5" w:rsidRDefault="000728B5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Ergebnis vor Zinsen und Steuern (EBIT) [Mio.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34,7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36,5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-4,9 %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132,7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114,3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5" w:rsidRDefault="00043ED1" w:rsidP="003A2734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16,0 %</w:t>
            </w:r>
          </w:p>
        </w:tc>
      </w:tr>
      <w:tr w:rsidR="000728B5" w:rsidTr="00043ED1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B5" w:rsidRDefault="000728B5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Bereinigtes EBIT * [Mio.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B5" w:rsidRDefault="00043ED1" w:rsidP="000728B5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-27,0 %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5" w:rsidRDefault="00043ED1" w:rsidP="00A00430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-2,8 %</w:t>
            </w:r>
          </w:p>
        </w:tc>
      </w:tr>
      <w:tr w:rsidR="000728B5" w:rsidTr="00043ED1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B5" w:rsidRDefault="000728B5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Ergebnis vor Steuern (EBT) [Mio.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-13,1 %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20,4 %</w:t>
            </w:r>
          </w:p>
        </w:tc>
      </w:tr>
      <w:tr w:rsidR="000728B5" w:rsidTr="00043ED1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B5" w:rsidRDefault="000728B5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Konzernüberschuss [M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io. 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8B5" w:rsidRDefault="00043ED1" w:rsidP="00A00430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B5" w:rsidRDefault="00043ED1" w:rsidP="00A00430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-10,6 %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77,5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20,9 %</w:t>
            </w:r>
          </w:p>
        </w:tc>
      </w:tr>
      <w:tr w:rsidR="000728B5" w:rsidTr="00043ED1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B5" w:rsidRDefault="000728B5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Investitionen inkl. Akquisitionen [M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io. 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56,0 %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47,3 %</w:t>
            </w:r>
          </w:p>
        </w:tc>
      </w:tr>
      <w:tr w:rsidR="000728B5" w:rsidTr="00043ED1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B5" w:rsidRDefault="000728B5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Eigenkapitalquote [%]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33,9 %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33,7 %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B5" w:rsidRDefault="00043ED1" w:rsidP="00E707FD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33,9 %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33,7 %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5" w:rsidRDefault="00043ED1" w:rsidP="00E707FD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--</w:t>
            </w:r>
          </w:p>
        </w:tc>
      </w:tr>
      <w:tr w:rsidR="000728B5" w:rsidTr="00043ED1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B5" w:rsidRDefault="000728B5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Ergebnis je Aktie [€]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-10,9 %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21,5 %</w:t>
            </w:r>
          </w:p>
        </w:tc>
      </w:tr>
      <w:tr w:rsidR="000728B5" w:rsidTr="00043ED1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B5" w:rsidRDefault="000728B5" w:rsidP="00043ED1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Mitarbeiter </w:t>
            </w:r>
            <w:r w:rsidR="00043ED1">
              <w:rPr>
                <w:rFonts w:ascii="Arial" w:hAnsi="Arial" w:cs="Arial"/>
                <w:sz w:val="18"/>
                <w:szCs w:val="18"/>
              </w:rPr>
              <w:t>zum Quartalsende</w:t>
            </w:r>
            <w:r>
              <w:rPr>
                <w:rFonts w:ascii="Arial" w:hAnsi="Arial" w:cs="Arial"/>
                <w:sz w:val="18"/>
                <w:szCs w:val="18"/>
              </w:rPr>
              <w:t xml:space="preserve"> [Anzahl]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67.391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60.088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12,2 %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67.391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60.088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B5" w:rsidRDefault="00043ED1">
            <w:pPr>
              <w:tabs>
                <w:tab w:val="left" w:pos="8505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12,2 %</w:t>
            </w:r>
          </w:p>
        </w:tc>
      </w:tr>
    </w:tbl>
    <w:p w:rsidR="0089546A" w:rsidRPr="00D20316" w:rsidRDefault="0089546A" w:rsidP="0089546A">
      <w:pPr>
        <w:autoSpaceDE w:val="0"/>
        <w:autoSpaceDN w:val="0"/>
        <w:adjustRightInd w:val="0"/>
        <w:ind w:left="360" w:right="1854"/>
        <w:rPr>
          <w:rFonts w:ascii="Arial" w:hAnsi="Arial" w:cs="Arial"/>
          <w:i/>
          <w:sz w:val="8"/>
          <w:szCs w:val="8"/>
        </w:rPr>
      </w:pPr>
    </w:p>
    <w:p w:rsidR="0089546A" w:rsidRPr="001877AF" w:rsidRDefault="001877AF" w:rsidP="001877AF">
      <w:pPr>
        <w:autoSpaceDE w:val="0"/>
        <w:autoSpaceDN w:val="0"/>
        <w:adjustRightInd w:val="0"/>
        <w:ind w:right="17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 </w:t>
      </w:r>
      <w:r w:rsidR="001904D1" w:rsidRPr="001877AF">
        <w:rPr>
          <w:rFonts w:ascii="Arial" w:hAnsi="Arial" w:cs="Arial"/>
          <w:i/>
          <w:sz w:val="16"/>
          <w:szCs w:val="16"/>
        </w:rPr>
        <w:t xml:space="preserve">Ergebnis bereinigt um die Effekte aus der Neubewertung im Rahmen der Kaufpreisverteilung wesentlicher </w:t>
      </w:r>
      <w:r w:rsidR="0089546A" w:rsidRPr="001877AF">
        <w:rPr>
          <w:rFonts w:ascii="Arial" w:hAnsi="Arial" w:cs="Arial"/>
          <w:i/>
          <w:sz w:val="16"/>
          <w:szCs w:val="16"/>
        </w:rPr>
        <w:t>A</w:t>
      </w:r>
      <w:r w:rsidR="001904D1" w:rsidRPr="001877AF">
        <w:rPr>
          <w:rFonts w:ascii="Arial" w:hAnsi="Arial" w:cs="Arial"/>
          <w:i/>
          <w:sz w:val="16"/>
          <w:szCs w:val="16"/>
        </w:rPr>
        <w:t>kquisitionen, Restrukturierungen, Wertminderungen langfristiger Vermögenswerte, Gewinne aus Unter</w:t>
      </w:r>
      <w:r w:rsidR="0089546A" w:rsidRPr="001877AF">
        <w:rPr>
          <w:rFonts w:ascii="Arial" w:hAnsi="Arial" w:cs="Arial"/>
          <w:i/>
          <w:sz w:val="16"/>
          <w:szCs w:val="16"/>
        </w:rPr>
        <w:t>-</w:t>
      </w:r>
      <w:proofErr w:type="spellStart"/>
      <w:r w:rsidR="001904D1" w:rsidRPr="001877AF">
        <w:rPr>
          <w:rFonts w:ascii="Arial" w:hAnsi="Arial" w:cs="Arial"/>
          <w:i/>
          <w:sz w:val="16"/>
          <w:szCs w:val="16"/>
        </w:rPr>
        <w:t>nehmensverkäufen</w:t>
      </w:r>
      <w:proofErr w:type="spellEnd"/>
      <w:r w:rsidR="001904D1" w:rsidRPr="001877AF">
        <w:rPr>
          <w:rFonts w:ascii="Arial" w:hAnsi="Arial" w:cs="Arial"/>
          <w:i/>
          <w:sz w:val="16"/>
          <w:szCs w:val="16"/>
        </w:rPr>
        <w:t xml:space="preserve"> und Ergebnisse aus Unternehmenszusammenschlüssen inklusive zugehöriger Derivate</w:t>
      </w:r>
      <w:r w:rsidR="009F30A8">
        <w:rPr>
          <w:rFonts w:ascii="Arial" w:hAnsi="Arial" w:cs="Arial"/>
          <w:i/>
          <w:sz w:val="16"/>
          <w:szCs w:val="16"/>
        </w:rPr>
        <w:t>.</w:t>
      </w:r>
    </w:p>
    <w:p w:rsidR="005456EE" w:rsidRPr="00A03E2C" w:rsidRDefault="008176B2" w:rsidP="00DE6EC3">
      <w:pPr>
        <w:pStyle w:val="Listenabsatz"/>
        <w:autoSpaceDE w:val="0"/>
        <w:autoSpaceDN w:val="0"/>
        <w:adjustRightInd w:val="0"/>
        <w:ind w:left="0" w:right="1569"/>
        <w:rPr>
          <w:rFonts w:ascii="Arial" w:hAnsi="Arial" w:cs="Arial"/>
          <w:i/>
          <w:sz w:val="22"/>
          <w:szCs w:val="22"/>
          <w:highlight w:val="yellow"/>
        </w:rPr>
      </w:pPr>
      <w:r w:rsidRPr="0089546A">
        <w:rPr>
          <w:rFonts w:ascii="Arial" w:hAnsi="Arial" w:cs="Arial"/>
          <w:i/>
          <w:sz w:val="16"/>
          <w:szCs w:val="16"/>
        </w:rPr>
        <w:br/>
      </w:r>
      <w:r w:rsidR="005456EE" w:rsidRPr="004152A9">
        <w:rPr>
          <w:sz w:val="36"/>
          <w:szCs w:val="36"/>
        </w:rPr>
        <w:sym w:font="Wingdings" w:char="F046"/>
      </w:r>
      <w:r w:rsidR="005456EE" w:rsidRPr="004152A9">
        <w:rPr>
          <w:rFonts w:ascii="Arial" w:hAnsi="Arial" w:cs="Arial"/>
          <w:i/>
          <w:sz w:val="20"/>
          <w:szCs w:val="20"/>
        </w:rPr>
        <w:t xml:space="preserve"> </w:t>
      </w:r>
      <w:r w:rsidR="004152A9" w:rsidRPr="004152A9">
        <w:rPr>
          <w:rFonts w:ascii="Arial" w:hAnsi="Arial" w:cs="Arial"/>
          <w:i/>
          <w:sz w:val="22"/>
          <w:szCs w:val="22"/>
        </w:rPr>
        <w:t xml:space="preserve">Zugehöriges </w:t>
      </w:r>
      <w:r w:rsidR="004152A9" w:rsidRPr="003334F3">
        <w:rPr>
          <w:rFonts w:ascii="Arial" w:hAnsi="Arial" w:cs="Arial"/>
          <w:i/>
          <w:sz w:val="22"/>
          <w:szCs w:val="22"/>
        </w:rPr>
        <w:t>Illu</w:t>
      </w:r>
      <w:r w:rsidR="005456EE" w:rsidRPr="003334F3">
        <w:rPr>
          <w:rFonts w:ascii="Arial" w:hAnsi="Arial" w:cs="Arial"/>
          <w:i/>
          <w:sz w:val="22"/>
          <w:szCs w:val="22"/>
        </w:rPr>
        <w:t xml:space="preserve">strationsmaterial finden Sie </w:t>
      </w:r>
      <w:r w:rsidR="004152A9" w:rsidRPr="003334F3">
        <w:rPr>
          <w:rFonts w:ascii="Arial" w:hAnsi="Arial" w:cs="Arial"/>
          <w:i/>
          <w:sz w:val="22"/>
          <w:szCs w:val="22"/>
        </w:rPr>
        <w:t xml:space="preserve">direkt bei dieser Mitteilung unter </w:t>
      </w:r>
      <w:hyperlink r:id="rId9" w:history="1">
        <w:r w:rsidR="00AF0583" w:rsidRPr="00231D2B">
          <w:rPr>
            <w:rStyle w:val="Hyperlink"/>
            <w:rFonts w:ascii="Arial" w:hAnsi="Arial" w:cs="Arial"/>
            <w:i/>
            <w:sz w:val="22"/>
            <w:szCs w:val="22"/>
          </w:rPr>
          <w:t>www.leoni.com/de/presse/mitteilungen/details/leoni-nach-neun-monaten-mit-umsatz-und-ergebnisplus/</w:t>
        </w:r>
      </w:hyperlink>
      <w:r w:rsidR="005456EE" w:rsidRPr="003334F3">
        <w:rPr>
          <w:rFonts w:ascii="Arial" w:hAnsi="Arial" w:cs="Arial"/>
          <w:i/>
          <w:sz w:val="22"/>
          <w:szCs w:val="22"/>
        </w:rPr>
        <w:t xml:space="preserve"> </w:t>
      </w:r>
    </w:p>
    <w:p w:rsidR="001877AF" w:rsidRPr="001547FF" w:rsidRDefault="005456EE" w:rsidP="00DE6EC3">
      <w:pPr>
        <w:ind w:right="1569"/>
        <w:rPr>
          <w:rStyle w:val="Hyperlink"/>
          <w:rFonts w:ascii="Arial" w:hAnsi="Arial" w:cs="Arial"/>
          <w:i/>
          <w:sz w:val="22"/>
          <w:szCs w:val="22"/>
        </w:rPr>
      </w:pPr>
      <w:r w:rsidRPr="004152A9">
        <w:rPr>
          <w:rFonts w:ascii="Arial" w:hAnsi="Arial" w:cs="Arial"/>
          <w:sz w:val="36"/>
          <w:szCs w:val="36"/>
        </w:rPr>
        <w:sym w:font="Wingdings" w:char="F046"/>
      </w:r>
      <w:r w:rsidRPr="004152A9">
        <w:rPr>
          <w:rFonts w:ascii="Arial" w:hAnsi="Arial" w:cs="Arial"/>
          <w:i/>
          <w:sz w:val="20"/>
          <w:szCs w:val="20"/>
        </w:rPr>
        <w:t xml:space="preserve"> </w:t>
      </w:r>
      <w:r w:rsidRPr="004152A9">
        <w:rPr>
          <w:rFonts w:ascii="Arial" w:hAnsi="Arial" w:cs="Arial"/>
          <w:i/>
          <w:sz w:val="22"/>
          <w:szCs w:val="22"/>
        </w:rPr>
        <w:t xml:space="preserve">Den vollständigen </w:t>
      </w:r>
      <w:r w:rsidR="00CB5E9A" w:rsidRPr="004152A9">
        <w:rPr>
          <w:rFonts w:ascii="Arial" w:hAnsi="Arial" w:cs="Arial"/>
          <w:i/>
          <w:sz w:val="22"/>
          <w:szCs w:val="22"/>
        </w:rPr>
        <w:t>Quartals</w:t>
      </w:r>
      <w:r w:rsidRPr="004152A9">
        <w:rPr>
          <w:rFonts w:ascii="Arial" w:hAnsi="Arial" w:cs="Arial"/>
          <w:i/>
          <w:sz w:val="22"/>
          <w:szCs w:val="22"/>
        </w:rPr>
        <w:t xml:space="preserve">bericht können Sie herunterladen </w:t>
      </w:r>
      <w:r w:rsidR="001547FF" w:rsidRPr="004152A9">
        <w:rPr>
          <w:rFonts w:ascii="Arial" w:hAnsi="Arial" w:cs="Arial"/>
          <w:i/>
          <w:sz w:val="22"/>
          <w:szCs w:val="22"/>
        </w:rPr>
        <w:t xml:space="preserve">unter </w:t>
      </w:r>
      <w:hyperlink r:id="rId10" w:history="1">
        <w:r w:rsidR="009F2D75" w:rsidRPr="005966F6">
          <w:rPr>
            <w:rStyle w:val="Hyperlink"/>
            <w:rFonts w:ascii="Arial" w:hAnsi="Arial" w:cs="Arial"/>
            <w:i/>
            <w:sz w:val="22"/>
            <w:szCs w:val="22"/>
          </w:rPr>
          <w:t>www.leoni.com/de/finanzpublikationen</w:t>
        </w:r>
      </w:hyperlink>
    </w:p>
    <w:p w:rsidR="001877AF" w:rsidRPr="00344207" w:rsidRDefault="001877AF" w:rsidP="00344207">
      <w:pPr>
        <w:tabs>
          <w:tab w:val="left" w:pos="8505"/>
        </w:tabs>
        <w:spacing w:after="120"/>
        <w:ind w:right="1569"/>
        <w:rPr>
          <w:rFonts w:ascii="Arial" w:hAnsi="Arial" w:cs="Arial"/>
          <w:i/>
          <w:sz w:val="22"/>
          <w:szCs w:val="22"/>
        </w:rPr>
      </w:pPr>
      <w:r w:rsidRPr="009A7FB8">
        <w:rPr>
          <w:rFonts w:ascii="Arial" w:hAnsi="Arial" w:cs="Arial"/>
          <w:sz w:val="36"/>
          <w:szCs w:val="36"/>
        </w:rPr>
        <w:sym w:font="Wingdings" w:char="F046"/>
      </w:r>
      <w:r>
        <w:rPr>
          <w:rFonts w:ascii="Verdana" w:hAnsi="Verdana"/>
          <w:i/>
          <w:sz w:val="20"/>
          <w:szCs w:val="20"/>
        </w:rPr>
        <w:t xml:space="preserve"> </w:t>
      </w:r>
      <w:r w:rsidRPr="00DE6EC3">
        <w:rPr>
          <w:rFonts w:ascii="Arial" w:hAnsi="Arial" w:cs="Arial"/>
          <w:i/>
          <w:sz w:val="22"/>
          <w:szCs w:val="22"/>
        </w:rPr>
        <w:t>Hinweis für Journalisten: Heute findet um 11.30 Uhr eine Telefonkonferenz für Medienvertreter statt. Einwahldaten erhalten Sie unter Tel.: +49 (0)911/2023-467</w:t>
      </w:r>
    </w:p>
    <w:p w:rsidR="001B621B" w:rsidRPr="006D36F9" w:rsidRDefault="006F4393" w:rsidP="00D20316">
      <w:pPr>
        <w:pStyle w:val="MMKurzprofilberschrift"/>
      </w:pPr>
      <w:r w:rsidRPr="006D36F9">
        <w:t>Über die Leoni-Gruppe</w:t>
      </w:r>
    </w:p>
    <w:p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</w:t>
      </w:r>
      <w:r w:rsidRPr="00D22DFA">
        <w:t xml:space="preserve">deutschen MDAX börsennotierte Unternehmensgruppe beschäftigt </w:t>
      </w:r>
      <w:r w:rsidR="003334F3">
        <w:t>rund</w:t>
      </w:r>
      <w:r w:rsidR="00110F36" w:rsidRPr="00110F36">
        <w:t xml:space="preserve"> </w:t>
      </w:r>
      <w:r w:rsidR="00540F3D" w:rsidRPr="00A34608">
        <w:t>6</w:t>
      </w:r>
      <w:r w:rsidR="00A03E2C" w:rsidRPr="00A34608">
        <w:t>7</w:t>
      </w:r>
      <w:r w:rsidR="008E7760" w:rsidRPr="00A34608">
        <w:t>.000</w:t>
      </w:r>
      <w:r w:rsidR="008E7760" w:rsidRPr="00D22DFA">
        <w:t xml:space="preserve"> Mitarbeiter in </w:t>
      </w:r>
      <w:r w:rsidR="008E7760" w:rsidRPr="00A34608">
        <w:t>3</w:t>
      </w:r>
      <w:r w:rsidR="00A03E2C" w:rsidRPr="00A34608">
        <w:t>1</w:t>
      </w:r>
      <w:r w:rsidR="008E7760" w:rsidRPr="00A34608">
        <w:t xml:space="preserve"> Ländern</w:t>
      </w:r>
      <w:r w:rsidR="008E7760" w:rsidRPr="006D36F9">
        <w:t xml:space="preserve"> und erzielte 20</w:t>
      </w:r>
      <w:r w:rsidR="00977A5F" w:rsidRPr="006D36F9">
        <w:t>1</w:t>
      </w:r>
      <w:r w:rsidR="00540F3D">
        <w:t>3</w:t>
      </w:r>
      <w:r w:rsidR="008E7760" w:rsidRPr="006D36F9">
        <w:t xml:space="preserve"> einen Konzernumsatz von </w:t>
      </w:r>
      <w:r w:rsidR="005E0BBB">
        <w:t>3</w:t>
      </w:r>
      <w:r w:rsidR="008E7760" w:rsidRPr="006D36F9">
        <w:t>,</w:t>
      </w:r>
      <w:r w:rsidR="00540F3D">
        <w:t>92</w:t>
      </w:r>
      <w:r w:rsidR="008E7760" w:rsidRPr="006D36F9">
        <w:t xml:space="preserve"> Mrd. Euro</w:t>
      </w:r>
      <w:r w:rsidRPr="006D36F9">
        <w:t>.</w:t>
      </w:r>
    </w:p>
    <w:p w:rsidR="00E569A0" w:rsidRPr="009936F9" w:rsidRDefault="00E569A0" w:rsidP="00E569A0">
      <w:pPr>
        <w:pStyle w:val="MMKurzprofil"/>
        <w:rPr>
          <w:sz w:val="8"/>
          <w:szCs w:val="8"/>
        </w:rPr>
      </w:pPr>
    </w:p>
    <w:p w:rsidR="00E569A0" w:rsidRPr="00320044" w:rsidRDefault="00DC2CC0" w:rsidP="005E0BBB">
      <w:pPr>
        <w:pStyle w:val="MMKurzprofil"/>
      </w:pPr>
      <w:r>
        <w:rPr>
          <w:noProof/>
        </w:rPr>
        <w:drawing>
          <wp:inline distT="0" distB="0" distL="0" distR="0" wp14:anchorId="61F001C4" wp14:editId="4F8097C4">
            <wp:extent cx="180975" cy="180975"/>
            <wp:effectExtent l="0" t="0" r="9525" b="9525"/>
            <wp:docPr id="4" name="Bild 1" descr="facebook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 wp14:anchorId="134B1E29" wp14:editId="43D0CA36">
            <wp:extent cx="180975" cy="180975"/>
            <wp:effectExtent l="0" t="0" r="9525" b="9525"/>
            <wp:docPr id="2" name="Bild 2" descr="xing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48" w:rsidRPr="006D36F9" w:rsidRDefault="00441963" w:rsidP="00D20316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:rsidR="008F5F48" w:rsidRPr="006D36F9" w:rsidRDefault="008F5F48" w:rsidP="006D36F9">
      <w:pPr>
        <w:pStyle w:val="MMKurzprofil"/>
      </w:pPr>
      <w:r w:rsidRPr="006D36F9">
        <w:t>Sven Schmidt</w:t>
      </w:r>
    </w:p>
    <w:p w:rsidR="008F5F48" w:rsidRDefault="000A7B89" w:rsidP="006D36F9">
      <w:pPr>
        <w:pStyle w:val="MMKurzprofil"/>
      </w:pPr>
      <w:r w:rsidRPr="006D36F9">
        <w:t xml:space="preserve">Corporate </w:t>
      </w:r>
      <w:r w:rsidR="008F5F48" w:rsidRPr="006D36F9">
        <w:t>Public &amp; Media Relations</w:t>
      </w:r>
    </w:p>
    <w:p w:rsidR="009613DC" w:rsidRPr="006D36F9" w:rsidRDefault="009613DC" w:rsidP="006D36F9">
      <w:pPr>
        <w:pStyle w:val="MMKurzprofil"/>
      </w:pPr>
      <w:r>
        <w:t>LEONI AG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(0)911-2023-467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(0)911-2023-231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5" w:history="1">
        <w:r w:rsidR="00883645" w:rsidRPr="00CA55F6">
          <w:rPr>
            <w:rStyle w:val="Hyperlink"/>
          </w:rPr>
          <w:t>presse@leoni.com</w:t>
        </w:r>
      </w:hyperlink>
    </w:p>
    <w:sectPr w:rsidR="008F5F48" w:rsidRPr="006D36F9" w:rsidSect="00783A5E">
      <w:headerReference w:type="default" r:id="rId16"/>
      <w:footerReference w:type="default" r:id="rId17"/>
      <w:headerReference w:type="first" r:id="rId18"/>
      <w:footerReference w:type="first" r:id="rId19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C9" w:rsidRPr="00A44C71" w:rsidRDefault="00A760C9">
      <w:pPr>
        <w:rPr>
          <w:sz w:val="16"/>
        </w:rPr>
      </w:pPr>
      <w:r>
        <w:separator/>
      </w:r>
    </w:p>
  </w:endnote>
  <w:endnote w:type="continuationSeparator" w:id="0">
    <w:p w:rsidR="00A760C9" w:rsidRPr="00A44C71" w:rsidRDefault="00A760C9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36" w:rsidRPr="009A05EE" w:rsidRDefault="00110F36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AF0583">
      <w:rPr>
        <w:rStyle w:val="Seitenzahl"/>
        <w:rFonts w:ascii="Arial" w:hAnsi="Arial" w:cs="Arial"/>
        <w:i/>
        <w:noProof/>
        <w:sz w:val="16"/>
        <w:szCs w:val="16"/>
      </w:rPr>
      <w:t>4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AF0583">
      <w:rPr>
        <w:rStyle w:val="Seitenzahl"/>
        <w:rFonts w:ascii="Arial" w:hAnsi="Arial" w:cs="Arial"/>
        <w:i/>
        <w:noProof/>
        <w:sz w:val="16"/>
        <w:szCs w:val="16"/>
      </w:rPr>
      <w:t>4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:rsidR="00110F36" w:rsidRPr="009F6805" w:rsidRDefault="00110F36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36" w:rsidRPr="00406709" w:rsidRDefault="00110F36" w:rsidP="008F5F48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b/>
        <w:color w:val="004089"/>
        <w:sz w:val="12"/>
        <w:szCs w:val="14"/>
      </w:rPr>
      <w:tab/>
    </w:r>
    <w:r>
      <w:rPr>
        <w:rFonts w:ascii="Verdana" w:hAnsi="Verdana"/>
        <w:b/>
        <w:color w:val="004089"/>
        <w:sz w:val="12"/>
        <w:szCs w:val="14"/>
      </w:rPr>
      <w:t>Leoni</w:t>
    </w:r>
    <w:r w:rsidRPr="00406709">
      <w:rPr>
        <w:rFonts w:ascii="Verdana" w:hAnsi="Verdana"/>
        <w:b/>
        <w:color w:val="004089"/>
        <w:sz w:val="12"/>
        <w:szCs w:val="14"/>
      </w:rPr>
      <w:t xml:space="preserve"> AG</w:t>
    </w:r>
    <w:r w:rsidRPr="00406709">
      <w:rPr>
        <w:rFonts w:ascii="Verdana" w:hAnsi="Verdana"/>
        <w:sz w:val="12"/>
        <w:szCs w:val="14"/>
      </w:rPr>
      <w:tab/>
      <w:t>Marienstraße 7</w:t>
    </w:r>
    <w:r w:rsidRPr="00406709">
      <w:rPr>
        <w:rFonts w:ascii="Verdana" w:hAnsi="Verdana"/>
        <w:sz w:val="12"/>
        <w:szCs w:val="14"/>
      </w:rPr>
      <w:tab/>
      <w:t>Sitz und Registergericht</w:t>
    </w:r>
    <w:r w:rsidRPr="00406709">
      <w:rPr>
        <w:rFonts w:ascii="Verdana" w:hAnsi="Verdana"/>
        <w:sz w:val="12"/>
        <w:szCs w:val="14"/>
      </w:rPr>
      <w:tab/>
      <w:t>Vorsitzender des Aufsichtsrat</w:t>
    </w:r>
    <w:r>
      <w:rPr>
        <w:rFonts w:ascii="Verdana" w:hAnsi="Verdana"/>
        <w:sz w:val="12"/>
        <w:szCs w:val="14"/>
      </w:rPr>
      <w:t>s</w:t>
    </w:r>
    <w:r w:rsidRPr="00406709">
      <w:rPr>
        <w:rFonts w:ascii="Verdana" w:hAnsi="Verdana"/>
        <w:sz w:val="12"/>
        <w:szCs w:val="14"/>
      </w:rPr>
      <w:t>:</w:t>
    </w:r>
  </w:p>
  <w:p w:rsidR="00110F36" w:rsidRPr="00406709" w:rsidRDefault="00110F36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D-90402 Nürnberg</w:t>
    </w:r>
    <w:r w:rsidRPr="00406709">
      <w:rPr>
        <w:rFonts w:ascii="Verdana" w:hAnsi="Verdana"/>
        <w:sz w:val="12"/>
        <w:szCs w:val="14"/>
      </w:rPr>
      <w:tab/>
      <w:t>Nürnberg HRB 202</w:t>
    </w:r>
    <w:r w:rsidRPr="00406709">
      <w:rPr>
        <w:rFonts w:ascii="Verdana" w:hAnsi="Verdana"/>
        <w:sz w:val="12"/>
        <w:szCs w:val="14"/>
      </w:rPr>
      <w:tab/>
    </w:r>
    <w:r>
      <w:rPr>
        <w:rFonts w:ascii="Verdana" w:hAnsi="Verdana"/>
        <w:sz w:val="12"/>
        <w:szCs w:val="14"/>
      </w:rPr>
      <w:t>Dr. Werner Rupp</w:t>
    </w:r>
  </w:p>
  <w:p w:rsidR="00110F36" w:rsidRPr="00406709" w:rsidRDefault="00110F36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Telefon +49 (0)911-2023-0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USt</w:t>
    </w:r>
    <w:proofErr w:type="spellEnd"/>
    <w:r w:rsidRPr="00406709">
      <w:rPr>
        <w:rFonts w:ascii="Verdana" w:hAnsi="Verdana"/>
        <w:sz w:val="12"/>
        <w:szCs w:val="14"/>
      </w:rPr>
      <w:t>-ID-Nr.: DE 133500751</w:t>
    </w:r>
    <w:r w:rsidRPr="00406709">
      <w:rPr>
        <w:rFonts w:ascii="Verdana" w:hAnsi="Verdana"/>
        <w:sz w:val="12"/>
        <w:szCs w:val="14"/>
      </w:rPr>
      <w:tab/>
      <w:t>Vorstand:</w:t>
    </w:r>
  </w:p>
  <w:p w:rsidR="00110F36" w:rsidRPr="00406709" w:rsidRDefault="00110F36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Telefax +49 (0)911-2023-231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Dr. Klaus Probst (Vorsitzender)</w:t>
    </w:r>
  </w:p>
  <w:p w:rsidR="00110F36" w:rsidRPr="00406709" w:rsidRDefault="00110F36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E-Mail   info@leoni.com 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Dieter </w:t>
    </w:r>
    <w:proofErr w:type="spellStart"/>
    <w:r w:rsidRPr="00406709">
      <w:rPr>
        <w:rFonts w:ascii="Verdana" w:hAnsi="Verdana"/>
        <w:sz w:val="12"/>
        <w:szCs w:val="14"/>
      </w:rPr>
      <w:t>Bellé</w:t>
    </w:r>
    <w:proofErr w:type="spellEnd"/>
  </w:p>
  <w:p w:rsidR="00110F36" w:rsidRDefault="00110F36" w:rsidP="008F5F48">
    <w:pPr>
      <w:pStyle w:val="Fuzeile"/>
      <w:tabs>
        <w:tab w:val="left" w:pos="3788"/>
        <w:tab w:val="left" w:pos="7729"/>
      </w:tabs>
      <w:spacing w:before="20"/>
    </w:pPr>
    <w:r w:rsidRPr="00406709">
      <w:rPr>
        <w:rFonts w:ascii="Verdana" w:hAnsi="Verdana"/>
        <w:sz w:val="12"/>
        <w:szCs w:val="14"/>
      </w:rPr>
      <w:tab/>
      <w:t>www.leoni.com</w:t>
    </w:r>
    <w:r w:rsidRPr="00406709">
      <w:rPr>
        <w:rFonts w:ascii="Verdana" w:hAnsi="Verdana"/>
        <w:sz w:val="12"/>
        <w:szCs w:val="14"/>
      </w:rPr>
      <w:tab/>
      <w:t>Uwe H. Lamann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C9" w:rsidRPr="00A44C71" w:rsidRDefault="00A760C9">
      <w:pPr>
        <w:rPr>
          <w:sz w:val="16"/>
        </w:rPr>
      </w:pPr>
      <w:r>
        <w:separator/>
      </w:r>
    </w:p>
  </w:footnote>
  <w:footnote w:type="continuationSeparator" w:id="0">
    <w:p w:rsidR="00A760C9" w:rsidRPr="00A44C71" w:rsidRDefault="00A760C9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36" w:rsidRPr="00F17738" w:rsidRDefault="00110F36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110F36" w:rsidRPr="00F17738" w:rsidRDefault="00110F36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110F36" w:rsidRPr="00F17738" w:rsidRDefault="00110F36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 wp14:anchorId="49A733CF" wp14:editId="2E7B73AD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5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0F36" w:rsidRDefault="00110F36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110F36" w:rsidRPr="006D36F9" w:rsidRDefault="00110F36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</w:t>
    </w:r>
    <w:r w:rsidRPr="006D36F9">
      <w:rPr>
        <w:rFonts w:ascii="Arial" w:hAnsi="Arial" w:cs="Arial"/>
        <w:b/>
        <w:sz w:val="20"/>
        <w:szCs w:val="20"/>
      </w:rPr>
      <w:t>MITTEILUNG</w:t>
    </w:r>
  </w:p>
  <w:p w:rsidR="00110F36" w:rsidRPr="00F17738" w:rsidRDefault="00110F36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110F36" w:rsidRPr="00F17738" w:rsidRDefault="00110F36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110F36" w:rsidRPr="00F17738" w:rsidRDefault="00110F36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110F36" w:rsidRPr="006F0BE8" w:rsidRDefault="00110F36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36" w:rsidRPr="00F17738" w:rsidRDefault="00110F36" w:rsidP="008F5F48">
    <w:pPr>
      <w:pStyle w:val="Kopfzeile"/>
      <w:ind w:right="12"/>
      <w:rPr>
        <w:rFonts w:ascii="Verdana" w:hAnsi="Verdana"/>
        <w:sz w:val="20"/>
      </w:rPr>
    </w:pPr>
  </w:p>
  <w:p w:rsidR="00110F36" w:rsidRPr="00F17738" w:rsidRDefault="00110F36" w:rsidP="008F5F48">
    <w:pPr>
      <w:pStyle w:val="Kopfzeile"/>
      <w:ind w:right="12"/>
      <w:rPr>
        <w:rFonts w:ascii="Verdana" w:hAnsi="Verdana"/>
        <w:sz w:val="20"/>
      </w:rPr>
    </w:pPr>
  </w:p>
  <w:p w:rsidR="00110F36" w:rsidRPr="00F17738" w:rsidRDefault="00110F36" w:rsidP="008F5F48">
    <w:pPr>
      <w:pStyle w:val="Kopfzeile"/>
      <w:ind w:right="12"/>
      <w:rPr>
        <w:rFonts w:ascii="Verdana" w:hAnsi="Verdana"/>
        <w:sz w:val="20"/>
      </w:rPr>
    </w:pPr>
  </w:p>
  <w:p w:rsidR="00110F36" w:rsidRPr="00F17738" w:rsidRDefault="00110F36" w:rsidP="008F5F48">
    <w:pPr>
      <w:pStyle w:val="Kopfzeile"/>
      <w:ind w:right="12"/>
      <w:rPr>
        <w:rFonts w:ascii="Verdana" w:hAnsi="Verdana"/>
        <w:sz w:val="20"/>
      </w:rPr>
    </w:pPr>
  </w:p>
  <w:p w:rsidR="00110F36" w:rsidRPr="00F17738" w:rsidRDefault="00110F36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 wp14:anchorId="511187C4" wp14:editId="289254D4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6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0F36" w:rsidRPr="00F17738" w:rsidRDefault="00110F36" w:rsidP="008F5F48">
    <w:pPr>
      <w:pStyle w:val="Kopfzeile"/>
      <w:ind w:right="12"/>
      <w:rPr>
        <w:rFonts w:ascii="Verdana" w:hAnsi="Verdana"/>
        <w:sz w:val="20"/>
      </w:rPr>
    </w:pPr>
  </w:p>
  <w:p w:rsidR="00110F36" w:rsidRPr="00F17738" w:rsidRDefault="00110F36" w:rsidP="008F5F48">
    <w:pPr>
      <w:pStyle w:val="Kopfzeile"/>
      <w:ind w:right="12"/>
      <w:rPr>
        <w:rFonts w:ascii="Verdana" w:hAnsi="Verdana"/>
        <w:sz w:val="20"/>
      </w:rPr>
    </w:pPr>
  </w:p>
  <w:p w:rsidR="00110F36" w:rsidRPr="00F17738" w:rsidRDefault="00110F36" w:rsidP="008F5F48">
    <w:pPr>
      <w:pStyle w:val="Kopfzeile"/>
      <w:ind w:right="12"/>
      <w:rPr>
        <w:rFonts w:ascii="Verdana" w:hAnsi="Verdana"/>
        <w:sz w:val="20"/>
      </w:rPr>
    </w:pPr>
  </w:p>
  <w:p w:rsidR="00110F36" w:rsidRPr="00F17738" w:rsidRDefault="00110F36" w:rsidP="008F5F48">
    <w:pPr>
      <w:pStyle w:val="Kopfzeile"/>
      <w:ind w:right="12"/>
      <w:rPr>
        <w:rFonts w:ascii="Verdana" w:hAnsi="Verdana"/>
        <w:sz w:val="20"/>
      </w:rPr>
    </w:pPr>
  </w:p>
  <w:p w:rsidR="00110F36" w:rsidRPr="00F17738" w:rsidRDefault="00110F36" w:rsidP="008F5F48">
    <w:pPr>
      <w:pStyle w:val="Kopfzeile"/>
      <w:ind w:right="12"/>
      <w:rPr>
        <w:rFonts w:ascii="Verdana" w:hAnsi="Verdana"/>
        <w:sz w:val="20"/>
      </w:rPr>
    </w:pPr>
  </w:p>
  <w:p w:rsidR="00110F36" w:rsidRPr="00F17738" w:rsidRDefault="00110F36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840"/>
    <w:multiLevelType w:val="hybridMultilevel"/>
    <w:tmpl w:val="E5DA8298"/>
    <w:lvl w:ilvl="0" w:tplc="0F4C57F0">
      <w:start w:val="5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B2508"/>
    <w:multiLevelType w:val="hybridMultilevel"/>
    <w:tmpl w:val="701EC33A"/>
    <w:lvl w:ilvl="0" w:tplc="4B64A0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E27E7"/>
    <w:multiLevelType w:val="hybridMultilevel"/>
    <w:tmpl w:val="E6CCA1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B3473"/>
    <w:multiLevelType w:val="hybridMultilevel"/>
    <w:tmpl w:val="83B89CE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196930"/>
    <w:multiLevelType w:val="hybridMultilevel"/>
    <w:tmpl w:val="0DE8BE7A"/>
    <w:lvl w:ilvl="0" w:tplc="0A6E76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6D33"/>
    <w:rsid w:val="000079E4"/>
    <w:rsid w:val="00007DB0"/>
    <w:rsid w:val="00013A64"/>
    <w:rsid w:val="0001653D"/>
    <w:rsid w:val="0002408F"/>
    <w:rsid w:val="00043ED1"/>
    <w:rsid w:val="000453F9"/>
    <w:rsid w:val="000671BD"/>
    <w:rsid w:val="00072185"/>
    <w:rsid w:val="000728B5"/>
    <w:rsid w:val="00077B36"/>
    <w:rsid w:val="00077D0C"/>
    <w:rsid w:val="00091053"/>
    <w:rsid w:val="00091657"/>
    <w:rsid w:val="0009633F"/>
    <w:rsid w:val="000A0089"/>
    <w:rsid w:val="000A0822"/>
    <w:rsid w:val="000A32BC"/>
    <w:rsid w:val="000A7B89"/>
    <w:rsid w:val="000B3BF8"/>
    <w:rsid w:val="000B3D4A"/>
    <w:rsid w:val="000B5865"/>
    <w:rsid w:val="000C02B1"/>
    <w:rsid w:val="000E5816"/>
    <w:rsid w:val="000E6946"/>
    <w:rsid w:val="000F02CC"/>
    <w:rsid w:val="000F2DC6"/>
    <w:rsid w:val="00102158"/>
    <w:rsid w:val="001068DE"/>
    <w:rsid w:val="00110484"/>
    <w:rsid w:val="00110F36"/>
    <w:rsid w:val="00112EFB"/>
    <w:rsid w:val="00123771"/>
    <w:rsid w:val="00123B76"/>
    <w:rsid w:val="00130F82"/>
    <w:rsid w:val="00132B87"/>
    <w:rsid w:val="00133DEA"/>
    <w:rsid w:val="00134E77"/>
    <w:rsid w:val="001454B6"/>
    <w:rsid w:val="00145E36"/>
    <w:rsid w:val="0014704D"/>
    <w:rsid w:val="00152D54"/>
    <w:rsid w:val="00153609"/>
    <w:rsid w:val="001547FF"/>
    <w:rsid w:val="001557B0"/>
    <w:rsid w:val="00157707"/>
    <w:rsid w:val="00157C54"/>
    <w:rsid w:val="00172DBF"/>
    <w:rsid w:val="001734DC"/>
    <w:rsid w:val="00184530"/>
    <w:rsid w:val="0018564D"/>
    <w:rsid w:val="001877AF"/>
    <w:rsid w:val="001904D1"/>
    <w:rsid w:val="001917D1"/>
    <w:rsid w:val="001A0C73"/>
    <w:rsid w:val="001A26F1"/>
    <w:rsid w:val="001B621B"/>
    <w:rsid w:val="001C0CC3"/>
    <w:rsid w:val="001C7543"/>
    <w:rsid w:val="001D1868"/>
    <w:rsid w:val="001D2CDB"/>
    <w:rsid w:val="00207FC6"/>
    <w:rsid w:val="00211D05"/>
    <w:rsid w:val="00221934"/>
    <w:rsid w:val="002223B4"/>
    <w:rsid w:val="002317DC"/>
    <w:rsid w:val="002337B4"/>
    <w:rsid w:val="00240866"/>
    <w:rsid w:val="002418C5"/>
    <w:rsid w:val="00245C9E"/>
    <w:rsid w:val="00260A78"/>
    <w:rsid w:val="002630D8"/>
    <w:rsid w:val="002632EB"/>
    <w:rsid w:val="00264325"/>
    <w:rsid w:val="00270323"/>
    <w:rsid w:val="00271757"/>
    <w:rsid w:val="00271B97"/>
    <w:rsid w:val="00274295"/>
    <w:rsid w:val="00274BF6"/>
    <w:rsid w:val="002929B6"/>
    <w:rsid w:val="002956A9"/>
    <w:rsid w:val="0029603C"/>
    <w:rsid w:val="002A37A2"/>
    <w:rsid w:val="002A4D33"/>
    <w:rsid w:val="002A71D3"/>
    <w:rsid w:val="002B325C"/>
    <w:rsid w:val="002B59F8"/>
    <w:rsid w:val="002B68C4"/>
    <w:rsid w:val="002B7AC7"/>
    <w:rsid w:val="002B7BFA"/>
    <w:rsid w:val="002C118D"/>
    <w:rsid w:val="002C2359"/>
    <w:rsid w:val="002D3B75"/>
    <w:rsid w:val="002D7CD1"/>
    <w:rsid w:val="00300F04"/>
    <w:rsid w:val="00310D19"/>
    <w:rsid w:val="003118F1"/>
    <w:rsid w:val="00315FE3"/>
    <w:rsid w:val="00316E24"/>
    <w:rsid w:val="00320044"/>
    <w:rsid w:val="003237A6"/>
    <w:rsid w:val="003334F3"/>
    <w:rsid w:val="00340439"/>
    <w:rsid w:val="00340E9C"/>
    <w:rsid w:val="00344207"/>
    <w:rsid w:val="003545FC"/>
    <w:rsid w:val="00356E80"/>
    <w:rsid w:val="00361CF2"/>
    <w:rsid w:val="00362050"/>
    <w:rsid w:val="00364DCD"/>
    <w:rsid w:val="00365E12"/>
    <w:rsid w:val="00366D0B"/>
    <w:rsid w:val="00382198"/>
    <w:rsid w:val="00397AC4"/>
    <w:rsid w:val="003A2734"/>
    <w:rsid w:val="003B48A6"/>
    <w:rsid w:val="003B7E2B"/>
    <w:rsid w:val="003C5273"/>
    <w:rsid w:val="003C6AAE"/>
    <w:rsid w:val="003D216E"/>
    <w:rsid w:val="003D2799"/>
    <w:rsid w:val="003D3901"/>
    <w:rsid w:val="003D4F5D"/>
    <w:rsid w:val="003D601F"/>
    <w:rsid w:val="003E43B4"/>
    <w:rsid w:val="003E4B96"/>
    <w:rsid w:val="003E50A5"/>
    <w:rsid w:val="003F1AB5"/>
    <w:rsid w:val="003F74D0"/>
    <w:rsid w:val="00400EC1"/>
    <w:rsid w:val="00404468"/>
    <w:rsid w:val="0041404A"/>
    <w:rsid w:val="004152A9"/>
    <w:rsid w:val="00420BD0"/>
    <w:rsid w:val="00432245"/>
    <w:rsid w:val="00440EF7"/>
    <w:rsid w:val="00441012"/>
    <w:rsid w:val="00441963"/>
    <w:rsid w:val="0044413D"/>
    <w:rsid w:val="0045071B"/>
    <w:rsid w:val="004547BF"/>
    <w:rsid w:val="00473340"/>
    <w:rsid w:val="00473E7D"/>
    <w:rsid w:val="00476B0F"/>
    <w:rsid w:val="004803C6"/>
    <w:rsid w:val="00482296"/>
    <w:rsid w:val="004826F0"/>
    <w:rsid w:val="0049418D"/>
    <w:rsid w:val="004A1653"/>
    <w:rsid w:val="004A2754"/>
    <w:rsid w:val="004A2C7B"/>
    <w:rsid w:val="004A457B"/>
    <w:rsid w:val="004B0623"/>
    <w:rsid w:val="004B3DB8"/>
    <w:rsid w:val="004B4584"/>
    <w:rsid w:val="004B4CC2"/>
    <w:rsid w:val="004C2B81"/>
    <w:rsid w:val="004D2FCB"/>
    <w:rsid w:val="004D6078"/>
    <w:rsid w:val="004E29FC"/>
    <w:rsid w:val="004F038C"/>
    <w:rsid w:val="004F2266"/>
    <w:rsid w:val="004F499C"/>
    <w:rsid w:val="004F7079"/>
    <w:rsid w:val="004F7B4F"/>
    <w:rsid w:val="00500004"/>
    <w:rsid w:val="00500B29"/>
    <w:rsid w:val="00504472"/>
    <w:rsid w:val="005072AE"/>
    <w:rsid w:val="00514260"/>
    <w:rsid w:val="0051560E"/>
    <w:rsid w:val="00516B60"/>
    <w:rsid w:val="00526F46"/>
    <w:rsid w:val="0052757E"/>
    <w:rsid w:val="005302CE"/>
    <w:rsid w:val="00533F65"/>
    <w:rsid w:val="00540F3D"/>
    <w:rsid w:val="00543C34"/>
    <w:rsid w:val="005448AB"/>
    <w:rsid w:val="005456EE"/>
    <w:rsid w:val="00547D6D"/>
    <w:rsid w:val="00553180"/>
    <w:rsid w:val="00560D63"/>
    <w:rsid w:val="00560E65"/>
    <w:rsid w:val="00575181"/>
    <w:rsid w:val="00585319"/>
    <w:rsid w:val="005A043A"/>
    <w:rsid w:val="005B0C6D"/>
    <w:rsid w:val="005B227D"/>
    <w:rsid w:val="005B4DC3"/>
    <w:rsid w:val="005B4F46"/>
    <w:rsid w:val="005B5619"/>
    <w:rsid w:val="005C13C9"/>
    <w:rsid w:val="005C5351"/>
    <w:rsid w:val="005D4C87"/>
    <w:rsid w:val="005D550E"/>
    <w:rsid w:val="005E0BBB"/>
    <w:rsid w:val="005F57DF"/>
    <w:rsid w:val="005F5E8B"/>
    <w:rsid w:val="00600E53"/>
    <w:rsid w:val="00614A49"/>
    <w:rsid w:val="0061798D"/>
    <w:rsid w:val="006307D7"/>
    <w:rsid w:val="00631FB1"/>
    <w:rsid w:val="006457CF"/>
    <w:rsid w:val="00651091"/>
    <w:rsid w:val="0065348D"/>
    <w:rsid w:val="00654989"/>
    <w:rsid w:val="006611CF"/>
    <w:rsid w:val="00661F0B"/>
    <w:rsid w:val="00664A24"/>
    <w:rsid w:val="00673FE0"/>
    <w:rsid w:val="00683EF3"/>
    <w:rsid w:val="00691AA8"/>
    <w:rsid w:val="006A76CA"/>
    <w:rsid w:val="006B37F1"/>
    <w:rsid w:val="006C5546"/>
    <w:rsid w:val="006C5B9E"/>
    <w:rsid w:val="006C6A78"/>
    <w:rsid w:val="006D0285"/>
    <w:rsid w:val="006D36F9"/>
    <w:rsid w:val="006E0029"/>
    <w:rsid w:val="006E49A6"/>
    <w:rsid w:val="006F0BE8"/>
    <w:rsid w:val="006F435B"/>
    <w:rsid w:val="006F4393"/>
    <w:rsid w:val="006F49FA"/>
    <w:rsid w:val="006F78FE"/>
    <w:rsid w:val="00712909"/>
    <w:rsid w:val="00720539"/>
    <w:rsid w:val="00721853"/>
    <w:rsid w:val="00726628"/>
    <w:rsid w:val="007420F8"/>
    <w:rsid w:val="00745E2C"/>
    <w:rsid w:val="00746469"/>
    <w:rsid w:val="0075567E"/>
    <w:rsid w:val="00765E37"/>
    <w:rsid w:val="00772C01"/>
    <w:rsid w:val="007747B6"/>
    <w:rsid w:val="00783025"/>
    <w:rsid w:val="00783A5E"/>
    <w:rsid w:val="007864F1"/>
    <w:rsid w:val="00793DE9"/>
    <w:rsid w:val="00794757"/>
    <w:rsid w:val="007950F6"/>
    <w:rsid w:val="007C0A4A"/>
    <w:rsid w:val="007C3759"/>
    <w:rsid w:val="007D3F29"/>
    <w:rsid w:val="007D7D60"/>
    <w:rsid w:val="007F3212"/>
    <w:rsid w:val="007F514C"/>
    <w:rsid w:val="008045E1"/>
    <w:rsid w:val="008176B2"/>
    <w:rsid w:val="00821BA4"/>
    <w:rsid w:val="008239E1"/>
    <w:rsid w:val="008350CF"/>
    <w:rsid w:val="0083522C"/>
    <w:rsid w:val="008446CD"/>
    <w:rsid w:val="00846F2E"/>
    <w:rsid w:val="00851AC3"/>
    <w:rsid w:val="00862325"/>
    <w:rsid w:val="008657FE"/>
    <w:rsid w:val="00883645"/>
    <w:rsid w:val="008901B2"/>
    <w:rsid w:val="008920B0"/>
    <w:rsid w:val="0089546A"/>
    <w:rsid w:val="008A424F"/>
    <w:rsid w:val="008B1883"/>
    <w:rsid w:val="008B5A55"/>
    <w:rsid w:val="008B617B"/>
    <w:rsid w:val="008B6D44"/>
    <w:rsid w:val="008C2253"/>
    <w:rsid w:val="008D26BA"/>
    <w:rsid w:val="008D5725"/>
    <w:rsid w:val="008D5F1D"/>
    <w:rsid w:val="008D6717"/>
    <w:rsid w:val="008E7760"/>
    <w:rsid w:val="008F5F48"/>
    <w:rsid w:val="0090422E"/>
    <w:rsid w:val="00906898"/>
    <w:rsid w:val="00932404"/>
    <w:rsid w:val="0093537D"/>
    <w:rsid w:val="00936962"/>
    <w:rsid w:val="00951375"/>
    <w:rsid w:val="00952B78"/>
    <w:rsid w:val="00957EB4"/>
    <w:rsid w:val="009613DC"/>
    <w:rsid w:val="00961415"/>
    <w:rsid w:val="00962661"/>
    <w:rsid w:val="00964044"/>
    <w:rsid w:val="00966BBB"/>
    <w:rsid w:val="00967E91"/>
    <w:rsid w:val="009714B0"/>
    <w:rsid w:val="00972FAA"/>
    <w:rsid w:val="00977A5F"/>
    <w:rsid w:val="00977A87"/>
    <w:rsid w:val="00977E9C"/>
    <w:rsid w:val="00984C88"/>
    <w:rsid w:val="00984F8E"/>
    <w:rsid w:val="0098756C"/>
    <w:rsid w:val="00990335"/>
    <w:rsid w:val="0099234A"/>
    <w:rsid w:val="009936F9"/>
    <w:rsid w:val="00995F0D"/>
    <w:rsid w:val="009A05EE"/>
    <w:rsid w:val="009A1070"/>
    <w:rsid w:val="009A48B0"/>
    <w:rsid w:val="009A680F"/>
    <w:rsid w:val="009B48FF"/>
    <w:rsid w:val="009B564D"/>
    <w:rsid w:val="009C4DAB"/>
    <w:rsid w:val="009C5E59"/>
    <w:rsid w:val="009C6B13"/>
    <w:rsid w:val="009E0942"/>
    <w:rsid w:val="009E188F"/>
    <w:rsid w:val="009E32AD"/>
    <w:rsid w:val="009F2D75"/>
    <w:rsid w:val="009F30A8"/>
    <w:rsid w:val="009F6805"/>
    <w:rsid w:val="009F752B"/>
    <w:rsid w:val="009F7611"/>
    <w:rsid w:val="00A00430"/>
    <w:rsid w:val="00A03E2C"/>
    <w:rsid w:val="00A078DC"/>
    <w:rsid w:val="00A12538"/>
    <w:rsid w:val="00A23768"/>
    <w:rsid w:val="00A27173"/>
    <w:rsid w:val="00A34608"/>
    <w:rsid w:val="00A34AA7"/>
    <w:rsid w:val="00A3721C"/>
    <w:rsid w:val="00A43846"/>
    <w:rsid w:val="00A54DDA"/>
    <w:rsid w:val="00A643F8"/>
    <w:rsid w:val="00A66992"/>
    <w:rsid w:val="00A708D7"/>
    <w:rsid w:val="00A760C9"/>
    <w:rsid w:val="00A76415"/>
    <w:rsid w:val="00A77BFE"/>
    <w:rsid w:val="00AA09F4"/>
    <w:rsid w:val="00AA2A8D"/>
    <w:rsid w:val="00AA4C14"/>
    <w:rsid w:val="00AB1994"/>
    <w:rsid w:val="00AB5680"/>
    <w:rsid w:val="00AC17F0"/>
    <w:rsid w:val="00AC2AE0"/>
    <w:rsid w:val="00AC7A23"/>
    <w:rsid w:val="00AD3E26"/>
    <w:rsid w:val="00AE1DF1"/>
    <w:rsid w:val="00AE425A"/>
    <w:rsid w:val="00AE43B7"/>
    <w:rsid w:val="00AF0583"/>
    <w:rsid w:val="00AF0A61"/>
    <w:rsid w:val="00AF1913"/>
    <w:rsid w:val="00B1340F"/>
    <w:rsid w:val="00B139E4"/>
    <w:rsid w:val="00B164DD"/>
    <w:rsid w:val="00B170EF"/>
    <w:rsid w:val="00B270D9"/>
    <w:rsid w:val="00B3540F"/>
    <w:rsid w:val="00B45E40"/>
    <w:rsid w:val="00B466F2"/>
    <w:rsid w:val="00B64204"/>
    <w:rsid w:val="00B6668B"/>
    <w:rsid w:val="00B67561"/>
    <w:rsid w:val="00B70B1A"/>
    <w:rsid w:val="00B71C6F"/>
    <w:rsid w:val="00B83119"/>
    <w:rsid w:val="00B84E7F"/>
    <w:rsid w:val="00B9153B"/>
    <w:rsid w:val="00B96DE2"/>
    <w:rsid w:val="00B97F01"/>
    <w:rsid w:val="00BA0052"/>
    <w:rsid w:val="00BA0111"/>
    <w:rsid w:val="00BB1A73"/>
    <w:rsid w:val="00BB3C30"/>
    <w:rsid w:val="00BC5FE7"/>
    <w:rsid w:val="00BD22AC"/>
    <w:rsid w:val="00BD2643"/>
    <w:rsid w:val="00BD2EBA"/>
    <w:rsid w:val="00BD4058"/>
    <w:rsid w:val="00BD5027"/>
    <w:rsid w:val="00BD64D4"/>
    <w:rsid w:val="00BE568B"/>
    <w:rsid w:val="00BE78C2"/>
    <w:rsid w:val="00BF4F29"/>
    <w:rsid w:val="00BF5681"/>
    <w:rsid w:val="00BF7DEC"/>
    <w:rsid w:val="00C00B77"/>
    <w:rsid w:val="00C019EB"/>
    <w:rsid w:val="00C03D20"/>
    <w:rsid w:val="00C06DC9"/>
    <w:rsid w:val="00C108BC"/>
    <w:rsid w:val="00C11645"/>
    <w:rsid w:val="00C1516A"/>
    <w:rsid w:val="00C16450"/>
    <w:rsid w:val="00C32C07"/>
    <w:rsid w:val="00C34BE7"/>
    <w:rsid w:val="00C428F9"/>
    <w:rsid w:val="00C4480F"/>
    <w:rsid w:val="00C45D5C"/>
    <w:rsid w:val="00C4636C"/>
    <w:rsid w:val="00C6770A"/>
    <w:rsid w:val="00C70CB1"/>
    <w:rsid w:val="00C70F49"/>
    <w:rsid w:val="00C7427E"/>
    <w:rsid w:val="00C764E9"/>
    <w:rsid w:val="00C900A9"/>
    <w:rsid w:val="00C91CC2"/>
    <w:rsid w:val="00C95498"/>
    <w:rsid w:val="00C96EBA"/>
    <w:rsid w:val="00CA02F5"/>
    <w:rsid w:val="00CA481B"/>
    <w:rsid w:val="00CA4B57"/>
    <w:rsid w:val="00CA5B41"/>
    <w:rsid w:val="00CB5E9A"/>
    <w:rsid w:val="00CC7504"/>
    <w:rsid w:val="00CE1CD9"/>
    <w:rsid w:val="00CF6078"/>
    <w:rsid w:val="00D04407"/>
    <w:rsid w:val="00D1225B"/>
    <w:rsid w:val="00D15735"/>
    <w:rsid w:val="00D20316"/>
    <w:rsid w:val="00D22DFA"/>
    <w:rsid w:val="00D22ED7"/>
    <w:rsid w:val="00D24B04"/>
    <w:rsid w:val="00D313F7"/>
    <w:rsid w:val="00D413F1"/>
    <w:rsid w:val="00D47FA5"/>
    <w:rsid w:val="00D5108C"/>
    <w:rsid w:val="00D55D80"/>
    <w:rsid w:val="00D5605B"/>
    <w:rsid w:val="00D6261E"/>
    <w:rsid w:val="00D65513"/>
    <w:rsid w:val="00D700B9"/>
    <w:rsid w:val="00D738A7"/>
    <w:rsid w:val="00D74838"/>
    <w:rsid w:val="00D80DBE"/>
    <w:rsid w:val="00D90D76"/>
    <w:rsid w:val="00D91D57"/>
    <w:rsid w:val="00DA04DE"/>
    <w:rsid w:val="00DA49A1"/>
    <w:rsid w:val="00DB2E93"/>
    <w:rsid w:val="00DB7E41"/>
    <w:rsid w:val="00DC2CC0"/>
    <w:rsid w:val="00DD5149"/>
    <w:rsid w:val="00DD67C1"/>
    <w:rsid w:val="00DE590C"/>
    <w:rsid w:val="00DE6EC3"/>
    <w:rsid w:val="00DF47A8"/>
    <w:rsid w:val="00DF6351"/>
    <w:rsid w:val="00E01673"/>
    <w:rsid w:val="00E02B7A"/>
    <w:rsid w:val="00E07055"/>
    <w:rsid w:val="00E07171"/>
    <w:rsid w:val="00E21EAD"/>
    <w:rsid w:val="00E2445B"/>
    <w:rsid w:val="00E30FC7"/>
    <w:rsid w:val="00E33130"/>
    <w:rsid w:val="00E358C1"/>
    <w:rsid w:val="00E436DA"/>
    <w:rsid w:val="00E43922"/>
    <w:rsid w:val="00E45475"/>
    <w:rsid w:val="00E53639"/>
    <w:rsid w:val="00E564A7"/>
    <w:rsid w:val="00E569A0"/>
    <w:rsid w:val="00E707FD"/>
    <w:rsid w:val="00E716E4"/>
    <w:rsid w:val="00E76BA0"/>
    <w:rsid w:val="00E844A7"/>
    <w:rsid w:val="00E868B2"/>
    <w:rsid w:val="00E93051"/>
    <w:rsid w:val="00EB524C"/>
    <w:rsid w:val="00EC0A0C"/>
    <w:rsid w:val="00EC0E74"/>
    <w:rsid w:val="00EC6520"/>
    <w:rsid w:val="00ED1040"/>
    <w:rsid w:val="00ED47BD"/>
    <w:rsid w:val="00EE24A0"/>
    <w:rsid w:val="00EE3329"/>
    <w:rsid w:val="00EF3F55"/>
    <w:rsid w:val="00F21EA0"/>
    <w:rsid w:val="00F32737"/>
    <w:rsid w:val="00F338BC"/>
    <w:rsid w:val="00F35950"/>
    <w:rsid w:val="00F35BF2"/>
    <w:rsid w:val="00F37865"/>
    <w:rsid w:val="00F40C2E"/>
    <w:rsid w:val="00F45D66"/>
    <w:rsid w:val="00F53B35"/>
    <w:rsid w:val="00F6392A"/>
    <w:rsid w:val="00F67138"/>
    <w:rsid w:val="00F737A1"/>
    <w:rsid w:val="00F73C92"/>
    <w:rsid w:val="00F77BB5"/>
    <w:rsid w:val="00F80249"/>
    <w:rsid w:val="00F90257"/>
    <w:rsid w:val="00F90C7F"/>
    <w:rsid w:val="00F91FB0"/>
    <w:rsid w:val="00F9437E"/>
    <w:rsid w:val="00F955C9"/>
    <w:rsid w:val="00FC2BA4"/>
    <w:rsid w:val="00FC337A"/>
    <w:rsid w:val="00FD4D07"/>
    <w:rsid w:val="00FE0AC5"/>
    <w:rsid w:val="00FF18F8"/>
    <w:rsid w:val="00FF1DCB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E564A7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D20316"/>
    <w:pPr>
      <w:spacing w:before="36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3334F3"/>
    <w:pPr>
      <w:widowControl w:val="0"/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E564A7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3334F3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20316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  <w:style w:type="paragraph" w:styleId="Listenabsatz">
    <w:name w:val="List Paragraph"/>
    <w:basedOn w:val="Standard"/>
    <w:uiPriority w:val="34"/>
    <w:qFormat/>
    <w:rsid w:val="00895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E564A7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D20316"/>
    <w:pPr>
      <w:spacing w:before="36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3334F3"/>
    <w:pPr>
      <w:widowControl w:val="0"/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E564A7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3334F3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20316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  <w:style w:type="paragraph" w:styleId="Listenabsatz">
    <w:name w:val="List Paragraph"/>
    <w:basedOn w:val="Standard"/>
    <w:uiPriority w:val="34"/>
    <w:qFormat/>
    <w:rsid w:val="00895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xing.com/companies/leonia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pages/LEONI-Group-official-profile/193146627391754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esse@leoni.com" TargetMode="External"/><Relationship Id="rId10" Type="http://schemas.openxmlformats.org/officeDocument/2006/relationships/hyperlink" Target="http://www.leoni.com/de/finanzpublikationen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leoni.com/de/presse/mitteilungen/details/leoni-nach-neun-monaten-mit-umsatz-und-ergebnisplus/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A2CB2-C4C1-45AE-95CD-8CD5D6C7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1128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Media Relations Pressemitteilung</vt:lpstr>
    </vt:vector>
  </TitlesOfParts>
  <Manager>Sven Schmidt</Manager>
  <Company>LEONI</Company>
  <LinksUpToDate>false</LinksUpToDate>
  <CharactersWithSpaces>8333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Relations Pressemitteilung</dc:title>
  <dc:creator>Corporate Communications</dc:creator>
  <cp:lastModifiedBy>Schmidt, Sven</cp:lastModifiedBy>
  <cp:revision>4</cp:revision>
  <cp:lastPrinted>2014-11-07T15:29:00Z</cp:lastPrinted>
  <dcterms:created xsi:type="dcterms:W3CDTF">2014-11-10T10:47:00Z</dcterms:created>
  <dcterms:modified xsi:type="dcterms:W3CDTF">2014-11-10T10:49:00Z</dcterms:modified>
</cp:coreProperties>
</file>