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87" w:rsidRPr="00AB2663" w:rsidRDefault="00D67387" w:rsidP="00D67387">
      <w:pPr>
        <w:pStyle w:val="MMU1"/>
        <w:rPr>
          <w:bCs w:val="0"/>
          <w:szCs w:val="24"/>
          <w:lang w:val="en-US"/>
        </w:rPr>
      </w:pPr>
      <w:bookmarkStart w:id="0" w:name="_GoBack"/>
      <w:bookmarkEnd w:id="0"/>
      <w:proofErr w:type="spellStart"/>
      <w:r>
        <w:rPr>
          <w:bCs w:val="0"/>
          <w:szCs w:val="24"/>
          <w:lang w:val="en-GB"/>
        </w:rPr>
        <w:t>Leoni’s</w:t>
      </w:r>
      <w:proofErr w:type="spellEnd"/>
      <w:r>
        <w:rPr>
          <w:bCs w:val="0"/>
          <w:szCs w:val="24"/>
          <w:lang w:val="en-GB"/>
        </w:rPr>
        <w:t xml:space="preserve"> sales and earnings up after nine months</w:t>
      </w:r>
    </w:p>
    <w:p w:rsidR="00D67387" w:rsidRPr="00AB2663" w:rsidRDefault="00255220" w:rsidP="00D67387">
      <w:pPr>
        <w:pStyle w:val="MMU2"/>
        <w:rPr>
          <w:rFonts w:cs="Times New Roman"/>
          <w:lang w:val="en-US"/>
        </w:rPr>
      </w:pPr>
      <w:r>
        <w:rPr>
          <w:rFonts w:cs="Times New Roman"/>
          <w:lang w:val="en-GB"/>
        </w:rPr>
        <w:t>Revenues</w:t>
      </w:r>
      <w:r w:rsidR="00D67387">
        <w:rPr>
          <w:rFonts w:cs="Times New Roman"/>
          <w:lang w:val="en-GB"/>
        </w:rPr>
        <w:t xml:space="preserve"> at record level of nearly EUR 3.1 billion – EBIT up to just EUR 132.7 million due to exceptional charges</w:t>
      </w:r>
    </w:p>
    <w:p w:rsidR="00D67387" w:rsidRPr="00AB2663" w:rsidRDefault="00D67387" w:rsidP="00D67387">
      <w:pPr>
        <w:pStyle w:val="MMVorspann"/>
        <w:rPr>
          <w:rFonts w:cs="Times New Roman"/>
          <w:bCs w:val="0"/>
          <w:szCs w:val="24"/>
          <w:lang w:val="en-US"/>
        </w:rPr>
      </w:pPr>
      <w:r>
        <w:rPr>
          <w:rFonts w:cs="Times New Roman"/>
          <w:bCs w:val="0"/>
          <w:szCs w:val="24"/>
          <w:lang w:val="en-GB"/>
        </w:rPr>
        <w:t>Nuremberg, 11 November 2014 – Leoni, the leading European provider of cables and cable systems to the automotive sector and other industries, increased its consolidated sales by more than 4 percent year on year to EUR 3,053.4 million in the first nine months of 2014 (previous year: EUR 2,928.0 million). Business volume was up by nearly 6 percent to EUR 1,013.8 million in the third quarter (previous year: EUR 957.9 million).</w:t>
      </w:r>
      <w:r w:rsidRPr="00AB2663">
        <w:rPr>
          <w:rFonts w:cs="Times New Roman"/>
          <w:bCs w:val="0"/>
          <w:szCs w:val="24"/>
          <w:lang w:val="en-US"/>
        </w:rPr>
        <w:t xml:space="preserve"> </w:t>
      </w:r>
      <w:r>
        <w:rPr>
          <w:rFonts w:cs="Times New Roman"/>
          <w:bCs w:val="0"/>
          <w:szCs w:val="24"/>
          <w:lang w:val="en-GB"/>
        </w:rPr>
        <w:t>The good level of demand continued from both the global motor vehicle sector and many other industries of importance to Leoni.</w:t>
      </w:r>
      <w:r w:rsidRPr="00AB2663">
        <w:rPr>
          <w:rFonts w:cs="Times New Roman"/>
          <w:bCs w:val="0"/>
          <w:szCs w:val="24"/>
          <w:lang w:val="en-US"/>
        </w:rPr>
        <w:t xml:space="preserve"> </w:t>
      </w:r>
      <w:r>
        <w:rPr>
          <w:rFonts w:cs="Times New Roman"/>
          <w:bCs w:val="0"/>
          <w:szCs w:val="24"/>
          <w:lang w:val="en-GB"/>
        </w:rPr>
        <w:t>Exceptional costs in the Wiring Systems Division weighed on consolidated earnings before interest and taxes (EBIT).</w:t>
      </w:r>
      <w:r w:rsidRPr="00AB2663">
        <w:rPr>
          <w:rFonts w:cs="Times New Roman"/>
          <w:bCs w:val="0"/>
          <w:szCs w:val="24"/>
          <w:lang w:val="en-US"/>
        </w:rPr>
        <w:t xml:space="preserve"> </w:t>
      </w:r>
      <w:r>
        <w:rPr>
          <w:rFonts w:cs="Times New Roman"/>
          <w:bCs w:val="0"/>
          <w:szCs w:val="24"/>
          <w:lang w:val="en-GB"/>
        </w:rPr>
        <w:t>In the third quarter of 2014, the result was therefore down to EUR 34.7 million from 36.5 million one year earlier.</w:t>
      </w:r>
      <w:r w:rsidRPr="00AB2663">
        <w:rPr>
          <w:rFonts w:cs="Times New Roman"/>
          <w:bCs w:val="0"/>
          <w:szCs w:val="24"/>
          <w:lang w:val="en-US"/>
        </w:rPr>
        <w:t xml:space="preserve"> </w:t>
      </w:r>
      <w:r>
        <w:rPr>
          <w:rFonts w:cs="Times New Roman"/>
          <w:bCs w:val="0"/>
          <w:szCs w:val="24"/>
          <w:lang w:val="en-GB"/>
        </w:rPr>
        <w:t>EBIT amounted to EUR 132.7 million in the first nine months of 2014 (previous year: EUR 114.3 million) and thus rose less strongly than expected.</w:t>
      </w:r>
      <w:r w:rsidRPr="00AB2663">
        <w:rPr>
          <w:rFonts w:cs="Times New Roman"/>
          <w:bCs w:val="0"/>
          <w:szCs w:val="24"/>
          <w:lang w:val="en-US"/>
        </w:rPr>
        <w:t xml:space="preserve"> </w:t>
      </w:r>
      <w:r>
        <w:rPr>
          <w:rFonts w:cs="Times New Roman"/>
          <w:bCs w:val="0"/>
          <w:szCs w:val="24"/>
          <w:lang w:val="en-GB"/>
        </w:rPr>
        <w:t>The 2013 like-for-like figure included substantial restructuring expenses.</w:t>
      </w:r>
      <w:r w:rsidRPr="00AB2663">
        <w:rPr>
          <w:rFonts w:cs="Times New Roman"/>
          <w:bCs w:val="0"/>
          <w:szCs w:val="24"/>
          <w:lang w:val="en-US"/>
        </w:rPr>
        <w:t xml:space="preserve"> </w:t>
      </w:r>
      <w:r>
        <w:rPr>
          <w:rFonts w:cs="Times New Roman"/>
          <w:bCs w:val="0"/>
          <w:szCs w:val="24"/>
          <w:lang w:val="en-GB"/>
        </w:rPr>
        <w:t>Consolidated net income was up by about 21 percent to EUR 77.5 million at the end of September 2014 (previous year: EUR 64.1 million).</w:t>
      </w:r>
      <w:r w:rsidRPr="00AB2663">
        <w:rPr>
          <w:rFonts w:cs="Times New Roman"/>
          <w:bCs w:val="0"/>
          <w:szCs w:val="24"/>
          <w:lang w:val="en-US"/>
        </w:rPr>
        <w:t xml:space="preserve"> </w:t>
      </w:r>
    </w:p>
    <w:p w:rsidR="00D67387" w:rsidRPr="00AB2663" w:rsidRDefault="00D67387" w:rsidP="00D67387">
      <w:pPr>
        <w:pStyle w:val="MMFlietext"/>
        <w:rPr>
          <w:rFonts w:cs="Times New Roman"/>
          <w:szCs w:val="24"/>
          <w:lang w:val="en-US"/>
        </w:rPr>
      </w:pPr>
      <w:r>
        <w:rPr>
          <w:rFonts w:cs="Times New Roman"/>
          <w:szCs w:val="24"/>
          <w:lang w:val="en-GB"/>
        </w:rPr>
        <w:t>The Leoni Group’s capital expenditure and number of employees also increased in the first three quarters of 2014 because of the business expansion, numerous new product start-ups and the impending growth.</w:t>
      </w:r>
      <w:r w:rsidRPr="00AB2663">
        <w:rPr>
          <w:rFonts w:cs="Times New Roman"/>
          <w:szCs w:val="24"/>
          <w:lang w:val="en-US"/>
        </w:rPr>
        <w:t xml:space="preserve"> </w:t>
      </w:r>
      <w:r>
        <w:rPr>
          <w:rFonts w:cs="Times New Roman"/>
          <w:szCs w:val="24"/>
          <w:lang w:val="en-GB"/>
        </w:rPr>
        <w:t>Cap</w:t>
      </w:r>
      <w:r w:rsidR="00255220">
        <w:rPr>
          <w:rFonts w:cs="Times New Roman"/>
          <w:szCs w:val="24"/>
          <w:lang w:val="en-GB"/>
        </w:rPr>
        <w:t xml:space="preserve">ital expenditure </w:t>
      </w:r>
      <w:r>
        <w:rPr>
          <w:rFonts w:cs="Times New Roman"/>
          <w:szCs w:val="24"/>
          <w:lang w:val="en-GB"/>
        </w:rPr>
        <w:t>was up significantly from EUR 95.2 million at the same time in the previous year to EUR 140.2 million, due mainly to capacity expansion in Asia, the Americas and Eastern Europe.</w:t>
      </w:r>
      <w:r w:rsidRPr="00AB2663">
        <w:rPr>
          <w:rFonts w:cs="Times New Roman"/>
          <w:szCs w:val="24"/>
          <w:lang w:val="en-US"/>
        </w:rPr>
        <w:t xml:space="preserve"> </w:t>
      </w:r>
      <w:r>
        <w:rPr>
          <w:rFonts w:cs="Times New Roman"/>
          <w:szCs w:val="24"/>
          <w:lang w:val="en-GB"/>
        </w:rPr>
        <w:t>From the turn of the year the Group’s workforce grew by 5,800 people to 67,391 employees at the end of the first nine months (31</w:t>
      </w:r>
      <w:r w:rsidR="00255220">
        <w:rPr>
          <w:rFonts w:cs="Times New Roman"/>
          <w:szCs w:val="24"/>
          <w:lang w:val="en-GB"/>
        </w:rPr>
        <w:t>/</w:t>
      </w:r>
      <w:r>
        <w:rPr>
          <w:rFonts w:cs="Times New Roman"/>
          <w:szCs w:val="24"/>
          <w:lang w:val="en-GB"/>
        </w:rPr>
        <w:t>12</w:t>
      </w:r>
      <w:r w:rsidR="00255220">
        <w:rPr>
          <w:rFonts w:cs="Times New Roman"/>
          <w:szCs w:val="24"/>
          <w:lang w:val="en-GB"/>
        </w:rPr>
        <w:t>/</w:t>
      </w:r>
      <w:r>
        <w:rPr>
          <w:rFonts w:cs="Times New Roman"/>
          <w:szCs w:val="24"/>
          <w:lang w:val="en-GB"/>
        </w:rPr>
        <w:t>2013: 61,591 people).</w:t>
      </w:r>
      <w:r w:rsidRPr="00AB2663">
        <w:rPr>
          <w:rFonts w:cs="Times New Roman"/>
          <w:szCs w:val="24"/>
          <w:lang w:val="en-US"/>
        </w:rPr>
        <w:t xml:space="preserve"> </w:t>
      </w:r>
      <w:r>
        <w:rPr>
          <w:rFonts w:cs="Times New Roman"/>
          <w:szCs w:val="24"/>
          <w:lang w:val="en-GB"/>
        </w:rPr>
        <w:t xml:space="preserve">There was recruitment particularly at facilities in Asia, the </w:t>
      </w:r>
      <w:smartTag w:uri="urn:schemas-microsoft-com:office:smarttags" w:element="country-region">
        <w:r>
          <w:rPr>
            <w:rFonts w:cs="Times New Roman"/>
            <w:szCs w:val="24"/>
            <w:lang w:val="en-GB"/>
          </w:rPr>
          <w:t>Americas</w:t>
        </w:r>
      </w:smartTag>
      <w:r>
        <w:rPr>
          <w:rFonts w:cs="Times New Roman"/>
          <w:szCs w:val="24"/>
          <w:lang w:val="en-GB"/>
        </w:rPr>
        <w:t xml:space="preserve">, North Africa and </w:t>
      </w:r>
      <w:smartTag w:uri="urn:schemas-microsoft-com:office:smarttags" w:element="place">
        <w:r>
          <w:rPr>
            <w:rFonts w:cs="Times New Roman"/>
            <w:szCs w:val="24"/>
            <w:lang w:val="en-GB"/>
          </w:rPr>
          <w:t>Eastern Europe</w:t>
        </w:r>
      </w:smartTag>
      <w:r>
        <w:rPr>
          <w:rFonts w:cs="Times New Roman"/>
          <w:szCs w:val="24"/>
          <w:lang w:val="en-GB"/>
        </w:rPr>
        <w:t>.</w:t>
      </w:r>
      <w:r w:rsidRPr="00AB2663">
        <w:rPr>
          <w:rFonts w:cs="Times New Roman"/>
          <w:szCs w:val="24"/>
          <w:lang w:val="en-US"/>
        </w:rPr>
        <w:t xml:space="preserve"> </w:t>
      </w:r>
      <w:r>
        <w:rPr>
          <w:rFonts w:cs="Times New Roman"/>
          <w:szCs w:val="24"/>
          <w:lang w:val="en-GB"/>
        </w:rPr>
        <w:t xml:space="preserve">In </w:t>
      </w:r>
      <w:smartTag w:uri="urn:schemas-microsoft-com:office:smarttags" w:element="country-region">
        <w:smartTag w:uri="urn:schemas-microsoft-com:office:smarttags" w:element="place">
          <w:r>
            <w:rPr>
              <w:rFonts w:cs="Times New Roman"/>
              <w:szCs w:val="24"/>
              <w:lang w:val="en-GB"/>
            </w:rPr>
            <w:t>Germany</w:t>
          </w:r>
        </w:smartTag>
      </w:smartTag>
      <w:r>
        <w:rPr>
          <w:rFonts w:cs="Times New Roman"/>
          <w:szCs w:val="24"/>
          <w:lang w:val="en-GB"/>
        </w:rPr>
        <w:t xml:space="preserve"> the number of employees </w:t>
      </w:r>
      <w:proofErr w:type="gramStart"/>
      <w:r>
        <w:rPr>
          <w:rFonts w:cs="Times New Roman"/>
          <w:szCs w:val="24"/>
          <w:lang w:val="en-GB"/>
        </w:rPr>
        <w:t>rose</w:t>
      </w:r>
      <w:proofErr w:type="gramEnd"/>
      <w:r>
        <w:rPr>
          <w:rFonts w:cs="Times New Roman"/>
          <w:szCs w:val="24"/>
          <w:lang w:val="en-GB"/>
        </w:rPr>
        <w:t xml:space="preserve"> by 73 to 4,295 people.</w:t>
      </w:r>
    </w:p>
    <w:p w:rsidR="00D67387" w:rsidRPr="00101CE7" w:rsidRDefault="00D67387" w:rsidP="00D67387">
      <w:pPr>
        <w:pStyle w:val="MMZwischenberschrift"/>
        <w:widowControl w:val="0"/>
        <w:rPr>
          <w:snapToGrid/>
          <w:lang w:eastAsia="de-DE"/>
        </w:rPr>
      </w:pPr>
      <w:r w:rsidRPr="00101CE7">
        <w:rPr>
          <w:snapToGrid/>
          <w:lang w:eastAsia="de-DE"/>
        </w:rPr>
        <w:lastRenderedPageBreak/>
        <w:t xml:space="preserve">Wiring Systems: unplanned start-up costs </w:t>
      </w:r>
    </w:p>
    <w:p w:rsidR="00D67387" w:rsidRPr="00D67387" w:rsidRDefault="00D67387" w:rsidP="00D67387">
      <w:pPr>
        <w:pStyle w:val="MMFlietext"/>
        <w:rPr>
          <w:rFonts w:cs="Times New Roman"/>
          <w:szCs w:val="24"/>
          <w:lang w:val="en-US"/>
        </w:rPr>
      </w:pPr>
      <w:r>
        <w:rPr>
          <w:rFonts w:cs="Times New Roman"/>
          <w:szCs w:val="24"/>
          <w:lang w:val="en-GB"/>
        </w:rPr>
        <w:t>The Wiring Systems Division increased its quarterly sales of wiring systems and cable harnesses for the motor vehicle industry by about 4 percent to EUR 576.5 million (previous year: EUR 552.2 million) and by nearly 3 percent to EUR 1,771.9 million for the nine-month period (previous year: EUR 1,727.5 million).</w:t>
      </w:r>
      <w:r w:rsidRPr="00D67387">
        <w:rPr>
          <w:rFonts w:cs="Times New Roman"/>
          <w:szCs w:val="24"/>
          <w:lang w:val="en-US"/>
        </w:rPr>
        <w:t xml:space="preserve"> </w:t>
      </w:r>
      <w:r>
        <w:rPr>
          <w:rFonts w:cs="Times New Roman"/>
          <w:szCs w:val="24"/>
          <w:lang w:val="en-GB"/>
        </w:rPr>
        <w:t>In this division, Leoni generated growth especially with shipments to the export-heavyweight German carmakers, the international commercial vehicle industry as well as in its Power Sports unit, which covers leisure and sport vehicles.</w:t>
      </w:r>
      <w:r w:rsidRPr="00D67387">
        <w:rPr>
          <w:rFonts w:cs="Times New Roman"/>
          <w:szCs w:val="24"/>
          <w:lang w:val="en-US"/>
        </w:rPr>
        <w:t xml:space="preserve"> </w:t>
      </w:r>
      <w:r>
        <w:rPr>
          <w:rFonts w:cs="Times New Roman"/>
          <w:szCs w:val="24"/>
          <w:lang w:val="en-GB"/>
        </w:rPr>
        <w:t>The division’s EBIT was down to EUR 11.7 million for the period from July to September 2014 (previous year: EUR 17.4 million) and to a total of EUR 69.8 million for the first three quarters (previous year: EUR 76.3 million).</w:t>
      </w:r>
      <w:r w:rsidRPr="00D67387">
        <w:rPr>
          <w:rFonts w:cs="Times New Roman"/>
          <w:szCs w:val="24"/>
          <w:lang w:val="en-US"/>
        </w:rPr>
        <w:t xml:space="preserve"> </w:t>
      </w:r>
      <w:r>
        <w:rPr>
          <w:rFonts w:cs="Times New Roman"/>
          <w:szCs w:val="24"/>
          <w:lang w:val="en-GB"/>
        </w:rPr>
        <w:t>Primarily this was due to unplanned, exceptional charges related to start-up of a major new project:</w:t>
      </w:r>
      <w:r w:rsidRPr="00D67387">
        <w:rPr>
          <w:rFonts w:cs="Times New Roman"/>
          <w:szCs w:val="24"/>
          <w:lang w:val="en-US"/>
        </w:rPr>
        <w:t xml:space="preserve"> </w:t>
      </w:r>
      <w:r>
        <w:rPr>
          <w:rFonts w:cs="Times New Roman"/>
          <w:szCs w:val="24"/>
          <w:lang w:val="en-GB"/>
        </w:rPr>
        <w:t xml:space="preserve">the switch to complex production of customised wiring systems at a facility in </w:t>
      </w:r>
      <w:smartTag w:uri="urn:schemas-microsoft-com:office:smarttags" w:element="place">
        <w:smartTag w:uri="urn:schemas-microsoft-com:office:smarttags" w:element="country-region">
          <w:r>
            <w:rPr>
              <w:rFonts w:cs="Times New Roman"/>
              <w:szCs w:val="24"/>
              <w:lang w:val="en-GB"/>
            </w:rPr>
            <w:t>Mexico</w:t>
          </w:r>
        </w:smartTag>
      </w:smartTag>
      <w:r>
        <w:rPr>
          <w:rFonts w:cs="Times New Roman"/>
          <w:szCs w:val="24"/>
          <w:lang w:val="en-GB"/>
        </w:rPr>
        <w:t xml:space="preserve"> led to an unexpectedly large requirement for additional staff, high reject rates and additional airfreight costs.</w:t>
      </w:r>
      <w:r w:rsidRPr="00D67387">
        <w:rPr>
          <w:rFonts w:cs="Times New Roman"/>
          <w:szCs w:val="24"/>
          <w:lang w:val="en-US"/>
        </w:rPr>
        <w:t xml:space="preserve"> </w:t>
      </w:r>
      <w:r>
        <w:rPr>
          <w:rFonts w:cs="Times New Roman"/>
          <w:szCs w:val="24"/>
          <w:lang w:val="en-GB"/>
        </w:rPr>
        <w:t xml:space="preserve">The countermeasures applied at this plant showed </w:t>
      </w:r>
      <w:r w:rsidR="00255220">
        <w:rPr>
          <w:rFonts w:cs="Times New Roman"/>
          <w:szCs w:val="24"/>
          <w:lang w:val="en-GB"/>
        </w:rPr>
        <w:t xml:space="preserve">sustainable </w:t>
      </w:r>
      <w:r>
        <w:rPr>
          <w:rFonts w:cs="Times New Roman"/>
          <w:szCs w:val="24"/>
          <w:lang w:val="en-GB"/>
        </w:rPr>
        <w:t>effect from September</w:t>
      </w:r>
      <w:r w:rsidR="00255220">
        <w:rPr>
          <w:rFonts w:cs="Times New Roman"/>
          <w:szCs w:val="24"/>
          <w:lang w:val="en-GB"/>
        </w:rPr>
        <w:t>.</w:t>
      </w:r>
    </w:p>
    <w:p w:rsidR="00D67387" w:rsidRPr="00101CE7" w:rsidRDefault="00D67387" w:rsidP="00101CE7">
      <w:pPr>
        <w:pStyle w:val="MMZwischenberschrift"/>
        <w:widowControl w:val="0"/>
        <w:rPr>
          <w:snapToGrid/>
          <w:lang w:eastAsia="de-DE"/>
        </w:rPr>
      </w:pPr>
      <w:r w:rsidRPr="00101CE7">
        <w:rPr>
          <w:snapToGrid/>
          <w:lang w:eastAsia="de-DE"/>
        </w:rPr>
        <w:t xml:space="preserve">Wire &amp; Cable Solutions: profitability </w:t>
      </w:r>
      <w:proofErr w:type="gramStart"/>
      <w:r w:rsidRPr="00101CE7">
        <w:rPr>
          <w:snapToGrid/>
          <w:lang w:eastAsia="de-DE"/>
        </w:rPr>
        <w:t>raised</w:t>
      </w:r>
      <w:proofErr w:type="gramEnd"/>
    </w:p>
    <w:p w:rsidR="00D67387" w:rsidRPr="00D67387" w:rsidRDefault="00D67387" w:rsidP="00D67387">
      <w:pPr>
        <w:pStyle w:val="MMFlietext"/>
        <w:rPr>
          <w:rFonts w:cs="Times New Roman"/>
          <w:szCs w:val="24"/>
          <w:lang w:val="en-US"/>
        </w:rPr>
      </w:pPr>
      <w:r>
        <w:rPr>
          <w:rFonts w:cs="Times New Roman"/>
          <w:szCs w:val="24"/>
          <w:lang w:val="en-GB"/>
        </w:rPr>
        <w:t>The Wire &amp; Cable Solutions Division’s sales were up by nearly 8 percent to EUR 437.3 million in the third quarter of 2014 (previous year: EUR 405.8 million) and by about 7 percent to EUR 1,281.5 million from January and September (previous year: EUR 1,200.4 million).</w:t>
      </w:r>
      <w:r w:rsidRPr="00D67387">
        <w:rPr>
          <w:rFonts w:cs="Times New Roman"/>
          <w:szCs w:val="24"/>
          <w:lang w:val="en-US"/>
        </w:rPr>
        <w:t xml:space="preserve"> </w:t>
      </w:r>
      <w:r>
        <w:rPr>
          <w:rFonts w:cs="Times New Roman"/>
          <w:szCs w:val="24"/>
          <w:lang w:val="en-GB"/>
        </w:rPr>
        <w:t>This involved increases in demand particularly for standard and special cables for the automotive industry as well as for products for medical technology and robotics.</w:t>
      </w:r>
      <w:r w:rsidRPr="00D67387">
        <w:rPr>
          <w:rFonts w:cs="Times New Roman"/>
          <w:szCs w:val="24"/>
          <w:lang w:val="en-US"/>
        </w:rPr>
        <w:t xml:space="preserve"> </w:t>
      </w:r>
      <w:r>
        <w:rPr>
          <w:rFonts w:cs="Times New Roman"/>
          <w:szCs w:val="24"/>
          <w:lang w:val="en-GB"/>
        </w:rPr>
        <w:t>This growth and the beneficial effects of the restructuring measures applied in the previous year led to an earnings increase of approximately 20 percent to EUR 23.1 million in the third quarter (previous year: EUR 19.2 million).</w:t>
      </w:r>
      <w:r w:rsidRPr="00D67387">
        <w:rPr>
          <w:rFonts w:cs="Times New Roman"/>
          <w:szCs w:val="24"/>
          <w:lang w:val="en-US"/>
        </w:rPr>
        <w:t xml:space="preserve"> </w:t>
      </w:r>
      <w:r>
        <w:rPr>
          <w:rFonts w:cs="Times New Roman"/>
          <w:szCs w:val="24"/>
          <w:lang w:val="en-GB"/>
        </w:rPr>
        <w:t>After nine months EBIT amounted to EUR 62.9 million (previous year: EUR 38.0 million) and was thus up by about two thirds on the same result in 2013, which included heavy restructuring charges.</w:t>
      </w:r>
      <w:r w:rsidRPr="00D67387">
        <w:rPr>
          <w:rFonts w:cs="Times New Roman"/>
          <w:szCs w:val="24"/>
          <w:lang w:val="en-US"/>
        </w:rPr>
        <w:t xml:space="preserve"> </w:t>
      </w:r>
      <w:r>
        <w:rPr>
          <w:rFonts w:cs="Times New Roman"/>
          <w:szCs w:val="24"/>
          <w:lang w:val="en-GB"/>
        </w:rPr>
        <w:t>The ‘WCS ON Excellence’ programme launched in the third quarter of 2014 is aimed at further improvement of the Wire &amp; Cable Solutions Division’s profitability and global position.</w:t>
      </w:r>
      <w:r w:rsidRPr="00D67387">
        <w:rPr>
          <w:rFonts w:cs="Times New Roman"/>
          <w:szCs w:val="24"/>
          <w:lang w:val="en-US"/>
        </w:rPr>
        <w:t xml:space="preserve"> </w:t>
      </w:r>
    </w:p>
    <w:p w:rsidR="00D67387" w:rsidRPr="00101CE7" w:rsidRDefault="00D67387" w:rsidP="00101CE7">
      <w:pPr>
        <w:pStyle w:val="MMZwischenberschrift"/>
        <w:widowControl w:val="0"/>
        <w:rPr>
          <w:snapToGrid/>
          <w:lang w:eastAsia="de-DE"/>
        </w:rPr>
      </w:pPr>
      <w:r w:rsidRPr="00101CE7">
        <w:rPr>
          <w:snapToGrid/>
          <w:lang w:eastAsia="de-DE"/>
        </w:rPr>
        <w:lastRenderedPageBreak/>
        <w:t xml:space="preserve">Forecast for 2014: sales of approx. EUR 4.1 billion, EBIT of </w:t>
      </w:r>
      <w:r w:rsidR="00F474AB" w:rsidRPr="00101CE7">
        <w:rPr>
          <w:snapToGrid/>
          <w:lang w:eastAsia="de-DE"/>
        </w:rPr>
        <w:t xml:space="preserve">more than </w:t>
      </w:r>
      <w:r w:rsidRPr="00101CE7">
        <w:rPr>
          <w:snapToGrid/>
          <w:lang w:eastAsia="de-DE"/>
        </w:rPr>
        <w:t>EUR 180 million</w:t>
      </w:r>
    </w:p>
    <w:p w:rsidR="00D67387" w:rsidRPr="00D67387" w:rsidRDefault="00D67387" w:rsidP="00D67387">
      <w:pPr>
        <w:pStyle w:val="MMFlietext"/>
        <w:rPr>
          <w:rFonts w:cs="Times New Roman"/>
          <w:szCs w:val="24"/>
          <w:lang w:val="en-US"/>
        </w:rPr>
      </w:pPr>
      <w:r>
        <w:rPr>
          <w:rFonts w:cs="Times New Roman"/>
          <w:szCs w:val="24"/>
          <w:lang w:val="en-GB"/>
        </w:rPr>
        <w:t>For 2014 as a whole, Leoni still projects consolidated sales of approximately EUR 4.1 billion (previous year: EUR 3.92 billion).</w:t>
      </w:r>
      <w:r w:rsidRPr="00D67387">
        <w:rPr>
          <w:rFonts w:cs="Times New Roman"/>
          <w:szCs w:val="24"/>
          <w:lang w:val="en-US"/>
        </w:rPr>
        <w:t xml:space="preserve"> </w:t>
      </w:r>
      <w:r>
        <w:rPr>
          <w:rFonts w:cs="Times New Roman"/>
          <w:szCs w:val="24"/>
          <w:lang w:val="en-GB"/>
        </w:rPr>
        <w:t>Of this total, the Wiring Systems Division is likely to account for about EUR 2.4 billion (previous year: EUR 2.3 billion) with the Wire &amp; Cable Solutions Division providing approximately EUR 1.7 billion (previous year: EUR 1.6 billion).</w:t>
      </w:r>
      <w:r w:rsidRPr="00D67387">
        <w:rPr>
          <w:rFonts w:cs="Times New Roman"/>
          <w:szCs w:val="24"/>
          <w:lang w:val="en-US"/>
        </w:rPr>
        <w:t xml:space="preserve"> </w:t>
      </w:r>
      <w:r>
        <w:rPr>
          <w:rFonts w:cs="Times New Roman"/>
          <w:szCs w:val="24"/>
          <w:lang w:val="en-GB"/>
        </w:rPr>
        <w:t>From today’s perspective, consolidated earnings before interest and taxes will rise to</w:t>
      </w:r>
      <w:r w:rsidR="00F474AB">
        <w:rPr>
          <w:rFonts w:cs="Times New Roman"/>
          <w:szCs w:val="24"/>
          <w:lang w:val="en-GB"/>
        </w:rPr>
        <w:t xml:space="preserve"> more than</w:t>
      </w:r>
      <w:r>
        <w:rPr>
          <w:rFonts w:cs="Times New Roman"/>
          <w:szCs w:val="24"/>
          <w:lang w:val="en-GB"/>
        </w:rPr>
        <w:t xml:space="preserve"> EUR 180 million (previous year: EUR 163.1 million) and thus, as already announced in mid-October, </w:t>
      </w:r>
      <w:r w:rsidR="00F474AB">
        <w:rPr>
          <w:rFonts w:cs="Times New Roman"/>
          <w:szCs w:val="24"/>
          <w:lang w:val="en-GB"/>
        </w:rPr>
        <w:t>be below the formerly expected EUR 200 million.</w:t>
      </w:r>
      <w:r w:rsidRPr="00D67387">
        <w:rPr>
          <w:rFonts w:cs="Times New Roman"/>
          <w:szCs w:val="24"/>
          <w:lang w:val="en-US"/>
        </w:rPr>
        <w:t xml:space="preserve"> </w:t>
      </w:r>
      <w:r>
        <w:rPr>
          <w:rFonts w:cs="Times New Roman"/>
          <w:szCs w:val="24"/>
          <w:lang w:val="en-GB"/>
        </w:rPr>
        <w:t>The Wiring Systems Division will</w:t>
      </w:r>
      <w:r w:rsidR="0082509E">
        <w:rPr>
          <w:rFonts w:cs="Times New Roman"/>
          <w:szCs w:val="24"/>
          <w:lang w:val="en-GB"/>
        </w:rPr>
        <w:t xml:space="preserve"> not</w:t>
      </w:r>
      <w:r>
        <w:rPr>
          <w:rFonts w:cs="Times New Roman"/>
          <w:szCs w:val="24"/>
          <w:lang w:val="en-GB"/>
        </w:rPr>
        <w:t xml:space="preserve"> be able to recoup the charges incurred in the second and third quarters by the end of the year and is likely to generate full-year EBIT of at least EUR 100 million (previous year: EUR 116.1 million).</w:t>
      </w:r>
      <w:r w:rsidRPr="00D67387">
        <w:rPr>
          <w:rFonts w:cs="Times New Roman"/>
          <w:szCs w:val="24"/>
          <w:lang w:val="en-US"/>
        </w:rPr>
        <w:t xml:space="preserve"> </w:t>
      </w:r>
      <w:r>
        <w:rPr>
          <w:rFonts w:cs="Times New Roman"/>
          <w:szCs w:val="24"/>
          <w:lang w:val="en-GB"/>
        </w:rPr>
        <w:t>An earnings increase to more than EUR 80 million (previous year: EUR 47.1 million) is still projected for the Wire &amp; Cable Solutions Division.</w:t>
      </w:r>
      <w:r w:rsidRPr="00D67387">
        <w:rPr>
          <w:rFonts w:cs="Times New Roman"/>
          <w:szCs w:val="24"/>
          <w:lang w:val="en-US"/>
        </w:rPr>
        <w:t xml:space="preserve"> </w:t>
      </w:r>
    </w:p>
    <w:p w:rsidR="0065356D" w:rsidRPr="00D67387" w:rsidRDefault="00D67387" w:rsidP="0082509E">
      <w:pPr>
        <w:pStyle w:val="MMFlietext"/>
        <w:rPr>
          <w:rFonts w:cs="Times New Roman"/>
          <w:szCs w:val="24"/>
          <w:lang w:val="en-US"/>
        </w:rPr>
      </w:pPr>
      <w:r>
        <w:rPr>
          <w:rFonts w:cs="Times New Roman"/>
          <w:szCs w:val="24"/>
          <w:lang w:val="en-GB"/>
        </w:rPr>
        <w:t>Leoni remains confident about the years ahead.</w:t>
      </w:r>
      <w:r w:rsidRPr="00D67387">
        <w:rPr>
          <w:rFonts w:cs="Times New Roman"/>
          <w:szCs w:val="24"/>
          <w:lang w:val="en-US"/>
        </w:rPr>
        <w:t xml:space="preserve"> </w:t>
      </w:r>
      <w:r>
        <w:rPr>
          <w:rFonts w:cs="Times New Roman"/>
          <w:szCs w:val="24"/>
          <w:lang w:val="en-GB"/>
        </w:rPr>
        <w:t>From today's perspective, the Company will generate further gains in both sales and especially earnings in 2015.</w:t>
      </w:r>
      <w:r w:rsidRPr="00D67387">
        <w:rPr>
          <w:rFonts w:cs="Times New Roman"/>
          <w:szCs w:val="24"/>
          <w:lang w:val="en-US"/>
        </w:rPr>
        <w:t xml:space="preserve"> </w:t>
      </w:r>
      <w:r>
        <w:rPr>
          <w:rFonts w:cs="Times New Roman"/>
          <w:szCs w:val="24"/>
          <w:lang w:val="en-GB"/>
        </w:rPr>
        <w:t xml:space="preserve">It </w:t>
      </w:r>
      <w:r w:rsidR="0082509E">
        <w:rPr>
          <w:rFonts w:cs="Times New Roman"/>
          <w:szCs w:val="24"/>
          <w:lang w:val="en-GB"/>
        </w:rPr>
        <w:t xml:space="preserve">continues to </w:t>
      </w:r>
      <w:r>
        <w:rPr>
          <w:rFonts w:cs="Times New Roman"/>
          <w:szCs w:val="24"/>
          <w:lang w:val="en-GB"/>
        </w:rPr>
        <w:t>forecast sales of EUR 5 billion and a 7 percent EBIT margin for 2016.</w:t>
      </w:r>
      <w:r w:rsidR="0065356D">
        <w:rPr>
          <w:lang w:val="en-GB"/>
        </w:rPr>
        <w:t xml:space="preserve"> </w:t>
      </w:r>
      <w:r w:rsidR="0082509E">
        <w:rPr>
          <w:lang w:val="en-GB"/>
        </w:rPr>
        <w:t xml:space="preserve">This guidance is valid </w:t>
      </w:r>
      <w:r w:rsidR="0082509E" w:rsidRPr="0082509E">
        <w:rPr>
          <w:lang w:val="en-GB"/>
        </w:rPr>
        <w:t>provided that the underlying economic conditions</w:t>
      </w:r>
      <w:r w:rsidR="0082509E">
        <w:rPr>
          <w:lang w:val="en-GB"/>
        </w:rPr>
        <w:t xml:space="preserve"> </w:t>
      </w:r>
      <w:r w:rsidR="0082509E" w:rsidRPr="0082509E">
        <w:rPr>
          <w:lang w:val="en-GB"/>
        </w:rPr>
        <w:t>do not materially change.</w:t>
      </w:r>
    </w:p>
    <w:p w:rsidR="00F76833" w:rsidRDefault="00F76833" w:rsidP="00744F2F">
      <w:pPr>
        <w:ind w:right="1922"/>
        <w:rPr>
          <w:rFonts w:ascii="Arial" w:hAnsi="Arial" w:cs="Arial"/>
          <w:i/>
          <w:sz w:val="22"/>
          <w:szCs w:val="22"/>
          <w:lang w:val="en-GB"/>
        </w:rPr>
      </w:pPr>
      <w:r w:rsidRPr="00101CE7">
        <w:rPr>
          <w:rFonts w:ascii="Arial" w:hAnsi="Arial" w:cs="Arial"/>
          <w:i/>
          <w:sz w:val="22"/>
          <w:szCs w:val="22"/>
          <w:lang w:val="en-GB"/>
        </w:rPr>
        <w:t>(</w:t>
      </w:r>
      <w:r w:rsidR="002744E1" w:rsidRPr="00101CE7">
        <w:rPr>
          <w:rFonts w:ascii="Arial" w:hAnsi="Arial" w:cs="Arial"/>
          <w:i/>
          <w:sz w:val="22"/>
          <w:szCs w:val="22"/>
          <w:lang w:val="en-GB"/>
        </w:rPr>
        <w:t>5,</w:t>
      </w:r>
      <w:r w:rsidR="00101CE7" w:rsidRPr="00101CE7">
        <w:rPr>
          <w:rFonts w:ascii="Arial" w:hAnsi="Arial" w:cs="Arial"/>
          <w:i/>
          <w:sz w:val="22"/>
          <w:szCs w:val="22"/>
          <w:lang w:val="en-GB"/>
        </w:rPr>
        <w:t>728</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B84EE5" w:rsidRDefault="0019023D" w:rsidP="0019023D">
      <w:pPr>
        <w:pStyle w:val="MMKurzprofilberschrift"/>
        <w:rPr>
          <w:lang w:val="en-GB"/>
        </w:rPr>
      </w:pPr>
      <w:r>
        <w:rPr>
          <w:lang w:val="en-GB"/>
        </w:rPr>
        <w:br w:type="page"/>
      </w:r>
      <w:r w:rsidR="00B84EE5" w:rsidRPr="008218D9">
        <w:rPr>
          <w:lang w:val="en-GB"/>
        </w:rPr>
        <w:lastRenderedPageBreak/>
        <w:t>Leoni performance overview</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803"/>
        <w:gridCol w:w="803"/>
        <w:gridCol w:w="804"/>
        <w:gridCol w:w="803"/>
        <w:gridCol w:w="803"/>
        <w:gridCol w:w="804"/>
      </w:tblGrid>
      <w:tr w:rsidR="0053287E" w:rsidRPr="00E1439C" w:rsidTr="007B067E">
        <w:tc>
          <w:tcPr>
            <w:tcW w:w="2948" w:type="dxa"/>
            <w:vMerge w:val="restart"/>
            <w:shd w:val="clear" w:color="auto" w:fill="auto"/>
            <w:vAlign w:val="center"/>
          </w:tcPr>
          <w:p w:rsidR="0053287E" w:rsidRPr="007174DF" w:rsidRDefault="00B84EE5" w:rsidP="00433392">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key</w:t>
            </w:r>
            <w:proofErr w:type="spellEnd"/>
            <w:r>
              <w:rPr>
                <w:rFonts w:ascii="Arial" w:hAnsi="Arial" w:cs="Arial"/>
                <w:b/>
                <w:sz w:val="18"/>
                <w:szCs w:val="18"/>
              </w:rPr>
              <w:t xml:space="preserve"> </w:t>
            </w:r>
            <w:proofErr w:type="spellStart"/>
            <w:r>
              <w:rPr>
                <w:rFonts w:ascii="Arial" w:hAnsi="Arial" w:cs="Arial"/>
                <w:b/>
                <w:sz w:val="18"/>
                <w:szCs w:val="18"/>
              </w:rPr>
              <w:t>figures</w:t>
            </w:r>
            <w:proofErr w:type="spellEnd"/>
          </w:p>
          <w:p w:rsidR="0053287E" w:rsidRPr="007174DF" w:rsidRDefault="0053287E" w:rsidP="00433392">
            <w:pPr>
              <w:tabs>
                <w:tab w:val="left" w:pos="8505"/>
              </w:tabs>
              <w:rPr>
                <w:rFonts w:ascii="Arial" w:hAnsi="Arial" w:cs="Arial"/>
                <w:b/>
                <w:sz w:val="18"/>
                <w:szCs w:val="18"/>
              </w:rPr>
            </w:pPr>
          </w:p>
        </w:tc>
        <w:tc>
          <w:tcPr>
            <w:tcW w:w="2410" w:type="dxa"/>
            <w:gridSpan w:val="3"/>
            <w:shd w:val="clear" w:color="auto" w:fill="auto"/>
            <w:vAlign w:val="center"/>
          </w:tcPr>
          <w:p w:rsidR="0053287E" w:rsidRPr="00787B3E" w:rsidRDefault="00D67387" w:rsidP="00D67387">
            <w:pPr>
              <w:tabs>
                <w:tab w:val="left" w:pos="8505"/>
              </w:tabs>
              <w:jc w:val="center"/>
              <w:rPr>
                <w:rFonts w:ascii="Arial" w:hAnsi="Arial" w:cs="Arial"/>
                <w:b/>
                <w:sz w:val="18"/>
                <w:szCs w:val="18"/>
              </w:rPr>
            </w:pPr>
            <w:r>
              <w:rPr>
                <w:rFonts w:ascii="Arial" w:hAnsi="Arial" w:cs="Arial"/>
                <w:b/>
                <w:sz w:val="18"/>
                <w:szCs w:val="18"/>
              </w:rPr>
              <w:t>3rd</w:t>
            </w:r>
            <w:r w:rsidR="00787B3E" w:rsidRPr="00787B3E">
              <w:rPr>
                <w:rFonts w:ascii="Arial" w:hAnsi="Arial" w:cs="Arial"/>
                <w:b/>
                <w:sz w:val="18"/>
                <w:szCs w:val="18"/>
              </w:rPr>
              <w:t xml:space="preserve"> </w:t>
            </w:r>
            <w:proofErr w:type="spellStart"/>
            <w:r w:rsidR="00787B3E" w:rsidRPr="00787B3E">
              <w:rPr>
                <w:rFonts w:ascii="Arial" w:hAnsi="Arial" w:cs="Arial"/>
                <w:b/>
                <w:sz w:val="18"/>
                <w:szCs w:val="18"/>
              </w:rPr>
              <w:t>quarter</w:t>
            </w:r>
            <w:proofErr w:type="spellEnd"/>
          </w:p>
        </w:tc>
        <w:tc>
          <w:tcPr>
            <w:tcW w:w="2410" w:type="dxa"/>
            <w:gridSpan w:val="3"/>
            <w:shd w:val="clear" w:color="auto" w:fill="auto"/>
            <w:vAlign w:val="center"/>
          </w:tcPr>
          <w:p w:rsidR="0053287E" w:rsidRPr="00787B3E" w:rsidRDefault="0053287E" w:rsidP="00D67387">
            <w:pPr>
              <w:tabs>
                <w:tab w:val="left" w:pos="8505"/>
              </w:tabs>
              <w:ind w:right="113"/>
              <w:jc w:val="center"/>
              <w:rPr>
                <w:rFonts w:ascii="Arial" w:hAnsi="Arial" w:cs="Arial"/>
                <w:b/>
                <w:sz w:val="18"/>
                <w:szCs w:val="18"/>
              </w:rPr>
            </w:pPr>
            <w:r w:rsidRPr="00787B3E">
              <w:rPr>
                <w:rFonts w:ascii="Arial" w:hAnsi="Arial" w:cs="Arial"/>
                <w:b/>
                <w:sz w:val="18"/>
                <w:szCs w:val="18"/>
              </w:rPr>
              <w:t>1</w:t>
            </w:r>
            <w:r w:rsidR="00787B3E" w:rsidRPr="00787B3E">
              <w:rPr>
                <w:rFonts w:ascii="Arial" w:hAnsi="Arial" w:cs="Arial"/>
                <w:b/>
                <w:sz w:val="18"/>
                <w:szCs w:val="18"/>
              </w:rPr>
              <w:t xml:space="preserve">st </w:t>
            </w:r>
            <w:proofErr w:type="spellStart"/>
            <w:r w:rsidR="00D67387">
              <w:rPr>
                <w:rFonts w:ascii="Arial" w:hAnsi="Arial" w:cs="Arial"/>
                <w:b/>
                <w:sz w:val="18"/>
                <w:szCs w:val="18"/>
              </w:rPr>
              <w:t>to</w:t>
            </w:r>
            <w:proofErr w:type="spellEnd"/>
            <w:r w:rsidR="00D67387">
              <w:rPr>
                <w:rFonts w:ascii="Arial" w:hAnsi="Arial" w:cs="Arial"/>
                <w:b/>
                <w:sz w:val="18"/>
                <w:szCs w:val="18"/>
              </w:rPr>
              <w:t xml:space="preserve"> 3rd </w:t>
            </w:r>
            <w:proofErr w:type="spellStart"/>
            <w:r w:rsidR="00D67387">
              <w:rPr>
                <w:rFonts w:ascii="Arial" w:hAnsi="Arial" w:cs="Arial"/>
                <w:b/>
                <w:sz w:val="18"/>
                <w:szCs w:val="18"/>
              </w:rPr>
              <w:t>quarter</w:t>
            </w:r>
            <w:proofErr w:type="spellEnd"/>
          </w:p>
        </w:tc>
      </w:tr>
      <w:tr w:rsidR="0053287E" w:rsidRPr="00E1439C" w:rsidTr="007B067E">
        <w:tc>
          <w:tcPr>
            <w:tcW w:w="2948" w:type="dxa"/>
            <w:vMerge/>
            <w:vAlign w:val="center"/>
          </w:tcPr>
          <w:p w:rsidR="0053287E" w:rsidRPr="007174DF" w:rsidRDefault="0053287E" w:rsidP="00433392">
            <w:pPr>
              <w:tabs>
                <w:tab w:val="left" w:pos="8505"/>
              </w:tabs>
              <w:rPr>
                <w:rFonts w:ascii="Arial" w:hAnsi="Arial" w:cs="Arial"/>
                <w:b/>
                <w:sz w:val="18"/>
                <w:szCs w:val="18"/>
              </w:rPr>
            </w:pPr>
          </w:p>
        </w:tc>
        <w:tc>
          <w:tcPr>
            <w:tcW w:w="803" w:type="dxa"/>
            <w:noWrap/>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4</w:t>
            </w:r>
          </w:p>
        </w:tc>
        <w:tc>
          <w:tcPr>
            <w:tcW w:w="803" w:type="dxa"/>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3</w:t>
            </w:r>
          </w:p>
        </w:tc>
        <w:tc>
          <w:tcPr>
            <w:tcW w:w="804" w:type="dxa"/>
            <w:tcMar>
              <w:left w:w="28" w:type="dxa"/>
              <w:right w:w="28" w:type="dxa"/>
            </w:tcMa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c>
          <w:tcPr>
            <w:tcW w:w="803" w:type="dxa"/>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4</w:t>
            </w:r>
          </w:p>
        </w:tc>
        <w:tc>
          <w:tcPr>
            <w:tcW w:w="803" w:type="dxa"/>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3</w:t>
            </w:r>
          </w:p>
        </w:tc>
        <w:tc>
          <w:tcPr>
            <w:tcW w:w="804" w:type="dxa"/>
            <w:tcMar>
              <w:left w:w="28" w:type="dxa"/>
              <w:right w:w="28" w:type="dxa"/>
            </w:tcMar>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r>
      <w:tr w:rsidR="00D67387" w:rsidRPr="00101CE7" w:rsidTr="007B067E">
        <w:trPr>
          <w:trHeight w:val="284"/>
        </w:trPr>
        <w:tc>
          <w:tcPr>
            <w:tcW w:w="2948" w:type="dxa"/>
            <w:vAlign w:val="center"/>
          </w:tcPr>
          <w:p w:rsidR="00D67387" w:rsidRPr="00101CE7" w:rsidRDefault="00D67387" w:rsidP="00433392">
            <w:pPr>
              <w:tabs>
                <w:tab w:val="left" w:pos="8505"/>
              </w:tabs>
            </w:pPr>
            <w:r w:rsidRPr="00101CE7">
              <w:rPr>
                <w:rFonts w:ascii="Arial" w:hAnsi="Arial"/>
                <w:sz w:val="18"/>
                <w:lang w:val="en-GB"/>
              </w:rPr>
              <w:t>Sales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1</w:t>
            </w:r>
            <w:r w:rsidR="0082509E" w:rsidRPr="00101CE7">
              <w:rPr>
                <w:rFonts w:ascii="Arial" w:hAnsi="Arial" w:cs="Arial"/>
                <w:sz w:val="18"/>
                <w:szCs w:val="18"/>
                <w:lang w:val="it-IT"/>
              </w:rPr>
              <w:t>,</w:t>
            </w:r>
            <w:r w:rsidRPr="00101CE7">
              <w:rPr>
                <w:rFonts w:ascii="Arial" w:hAnsi="Arial" w:cs="Arial"/>
                <w:sz w:val="18"/>
                <w:szCs w:val="18"/>
                <w:lang w:val="it-IT"/>
              </w:rPr>
              <w:t>013</w:t>
            </w:r>
            <w:r w:rsidR="0082509E" w:rsidRPr="00101CE7">
              <w:rPr>
                <w:rFonts w:ascii="Arial" w:hAnsi="Arial" w:cs="Arial"/>
                <w:sz w:val="18"/>
                <w:szCs w:val="18"/>
                <w:lang w:val="it-IT"/>
              </w:rPr>
              <w:t>.</w:t>
            </w:r>
            <w:r w:rsidRPr="00101CE7">
              <w:rPr>
                <w:rFonts w:ascii="Arial" w:hAnsi="Arial" w:cs="Arial"/>
                <w:sz w:val="18"/>
                <w:szCs w:val="18"/>
                <w:lang w:val="it-IT"/>
              </w:rPr>
              <w:t>8</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957</w:t>
            </w:r>
            <w:r w:rsidR="0082509E" w:rsidRPr="00101CE7">
              <w:rPr>
                <w:rFonts w:ascii="Arial" w:hAnsi="Arial" w:cs="Arial"/>
                <w:sz w:val="18"/>
                <w:szCs w:val="18"/>
                <w:lang w:val="it-IT"/>
              </w:rPr>
              <w:t>.</w:t>
            </w:r>
            <w:r w:rsidRPr="00101CE7">
              <w:rPr>
                <w:rFonts w:ascii="Arial" w:hAnsi="Arial" w:cs="Arial"/>
                <w:sz w:val="18"/>
                <w:szCs w:val="18"/>
                <w:lang w:val="it-IT"/>
              </w:rPr>
              <w:t>9</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5</w:t>
            </w:r>
            <w:r w:rsidR="0082509E" w:rsidRPr="00101CE7">
              <w:rPr>
                <w:rFonts w:ascii="Arial" w:hAnsi="Arial" w:cs="Arial"/>
                <w:sz w:val="18"/>
                <w:szCs w:val="18"/>
                <w:lang w:val="it-IT"/>
              </w:rPr>
              <w:t>.</w:t>
            </w:r>
            <w:r w:rsidRPr="00101CE7">
              <w:rPr>
                <w:rFonts w:ascii="Arial" w:hAnsi="Arial" w:cs="Arial"/>
                <w:sz w:val="18"/>
                <w:szCs w:val="18"/>
                <w:lang w:val="it-IT"/>
              </w:rPr>
              <w:t>8 %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3</w:t>
            </w:r>
            <w:r w:rsidR="0082509E" w:rsidRPr="00101CE7">
              <w:rPr>
                <w:rFonts w:ascii="Arial" w:hAnsi="Arial" w:cs="Arial"/>
                <w:sz w:val="18"/>
                <w:szCs w:val="18"/>
                <w:lang w:val="it-IT"/>
              </w:rPr>
              <w:t>,</w:t>
            </w:r>
            <w:r w:rsidRPr="00101CE7">
              <w:rPr>
                <w:rFonts w:ascii="Arial" w:hAnsi="Arial" w:cs="Arial"/>
                <w:sz w:val="18"/>
                <w:szCs w:val="18"/>
                <w:lang w:val="it-IT"/>
              </w:rPr>
              <w:t>053</w:t>
            </w:r>
            <w:r w:rsidR="0082509E" w:rsidRPr="00101CE7">
              <w:rPr>
                <w:rFonts w:ascii="Arial" w:hAnsi="Arial" w:cs="Arial"/>
                <w:sz w:val="18"/>
                <w:szCs w:val="18"/>
                <w:lang w:val="it-IT"/>
              </w:rPr>
              <w:t>.</w:t>
            </w:r>
            <w:r w:rsidRPr="00101CE7">
              <w:rPr>
                <w:rFonts w:ascii="Arial" w:hAnsi="Arial" w:cs="Arial"/>
                <w:sz w:val="18"/>
                <w:szCs w:val="18"/>
                <w:lang w:val="it-IT"/>
              </w:rPr>
              <w:t>4</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2</w:t>
            </w:r>
            <w:r w:rsidR="0082509E" w:rsidRPr="00101CE7">
              <w:rPr>
                <w:rFonts w:ascii="Arial" w:hAnsi="Arial" w:cs="Arial"/>
                <w:sz w:val="18"/>
                <w:szCs w:val="18"/>
                <w:lang w:val="it-IT"/>
              </w:rPr>
              <w:t>,</w:t>
            </w:r>
            <w:r w:rsidRPr="00101CE7">
              <w:rPr>
                <w:rFonts w:ascii="Arial" w:hAnsi="Arial" w:cs="Arial"/>
                <w:sz w:val="18"/>
                <w:szCs w:val="18"/>
                <w:lang w:val="it-IT"/>
              </w:rPr>
              <w:t>928</w:t>
            </w:r>
            <w:r w:rsidR="0082509E" w:rsidRPr="00101CE7">
              <w:rPr>
                <w:rFonts w:ascii="Arial" w:hAnsi="Arial" w:cs="Arial"/>
                <w:sz w:val="18"/>
                <w:szCs w:val="18"/>
                <w:lang w:val="it-IT"/>
              </w:rPr>
              <w:t>.</w:t>
            </w:r>
            <w:r w:rsidRPr="00101CE7">
              <w:rPr>
                <w:rFonts w:ascii="Arial" w:hAnsi="Arial" w:cs="Arial"/>
                <w:sz w:val="18"/>
                <w:szCs w:val="18"/>
                <w:lang w:val="it-IT"/>
              </w:rPr>
              <w:t>0</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4</w:t>
            </w:r>
            <w:r w:rsidR="0082509E" w:rsidRPr="00101CE7">
              <w:rPr>
                <w:rFonts w:ascii="Arial" w:hAnsi="Arial" w:cs="Arial"/>
                <w:sz w:val="18"/>
                <w:szCs w:val="18"/>
                <w:lang w:val="it-IT"/>
              </w:rPr>
              <w:t>.</w:t>
            </w:r>
            <w:r w:rsidRPr="00101CE7">
              <w:rPr>
                <w:rFonts w:ascii="Arial" w:hAnsi="Arial" w:cs="Arial"/>
                <w:sz w:val="18"/>
                <w:szCs w:val="18"/>
                <w:lang w:val="it-IT"/>
              </w:rPr>
              <w:t>3 %</w:t>
            </w:r>
          </w:p>
        </w:tc>
      </w:tr>
      <w:tr w:rsidR="00D67387" w:rsidRPr="00101CE7" w:rsidTr="007B067E">
        <w:trPr>
          <w:trHeight w:val="284"/>
        </w:trPr>
        <w:tc>
          <w:tcPr>
            <w:tcW w:w="2948" w:type="dxa"/>
            <w:vAlign w:val="center"/>
          </w:tcPr>
          <w:p w:rsidR="00D67387" w:rsidRPr="00101CE7" w:rsidRDefault="00D67387" w:rsidP="00433392">
            <w:pPr>
              <w:tabs>
                <w:tab w:val="left" w:pos="8505"/>
              </w:tabs>
            </w:pPr>
            <w:r w:rsidRPr="00101CE7">
              <w:rPr>
                <w:rFonts w:ascii="Arial" w:hAnsi="Arial"/>
                <w:sz w:val="18"/>
                <w:lang w:val="en-GB"/>
              </w:rPr>
              <w:t>EBITDA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67</w:t>
            </w:r>
            <w:r w:rsidR="0082509E" w:rsidRPr="00101CE7">
              <w:rPr>
                <w:rFonts w:ascii="Arial" w:hAnsi="Arial" w:cs="Arial"/>
                <w:sz w:val="18"/>
                <w:szCs w:val="18"/>
                <w:lang w:val="it-IT"/>
              </w:rPr>
              <w:t>.</w:t>
            </w:r>
            <w:r w:rsidRPr="00101CE7">
              <w:rPr>
                <w:rFonts w:ascii="Arial" w:hAnsi="Arial" w:cs="Arial"/>
                <w:sz w:val="18"/>
                <w:szCs w:val="18"/>
                <w:lang w:val="it-IT"/>
              </w:rPr>
              <w:t>1</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66</w:t>
            </w:r>
            <w:r w:rsidR="0082509E" w:rsidRPr="00101CE7">
              <w:rPr>
                <w:rFonts w:ascii="Arial" w:hAnsi="Arial" w:cs="Arial"/>
                <w:sz w:val="18"/>
                <w:szCs w:val="18"/>
                <w:lang w:val="it-IT"/>
              </w:rPr>
              <w:t>.</w:t>
            </w:r>
            <w:r w:rsidRPr="00101CE7">
              <w:rPr>
                <w:rFonts w:ascii="Arial" w:hAnsi="Arial" w:cs="Arial"/>
                <w:sz w:val="18"/>
                <w:szCs w:val="18"/>
                <w:lang w:val="it-IT"/>
              </w:rPr>
              <w:t>6</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0</w:t>
            </w:r>
            <w:r w:rsidR="0082509E" w:rsidRPr="00101CE7">
              <w:rPr>
                <w:rFonts w:ascii="Arial" w:hAnsi="Arial" w:cs="Arial"/>
                <w:sz w:val="18"/>
                <w:szCs w:val="18"/>
                <w:lang w:val="it-IT"/>
              </w:rPr>
              <w:t>.</w:t>
            </w:r>
            <w:r w:rsidRPr="00101CE7">
              <w:rPr>
                <w:rFonts w:ascii="Arial" w:hAnsi="Arial" w:cs="Arial"/>
                <w:sz w:val="18"/>
                <w:szCs w:val="18"/>
                <w:lang w:val="it-IT"/>
              </w:rPr>
              <w:t>7 %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225</w:t>
            </w:r>
            <w:r w:rsidR="0082509E" w:rsidRPr="00101CE7">
              <w:rPr>
                <w:rFonts w:ascii="Arial" w:hAnsi="Arial" w:cs="Arial"/>
                <w:sz w:val="18"/>
                <w:szCs w:val="18"/>
                <w:lang w:val="it-IT"/>
              </w:rPr>
              <w:t>.</w:t>
            </w:r>
            <w:r w:rsidRPr="00101CE7">
              <w:rPr>
                <w:rFonts w:ascii="Arial" w:hAnsi="Arial" w:cs="Arial"/>
                <w:sz w:val="18"/>
                <w:szCs w:val="18"/>
                <w:lang w:val="it-IT"/>
              </w:rPr>
              <w:t>6</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204</w:t>
            </w:r>
            <w:r w:rsidR="0082509E" w:rsidRPr="00101CE7">
              <w:rPr>
                <w:rFonts w:ascii="Arial" w:hAnsi="Arial" w:cs="Arial"/>
                <w:sz w:val="18"/>
                <w:szCs w:val="18"/>
                <w:lang w:val="it-IT"/>
              </w:rPr>
              <w:t>.</w:t>
            </w:r>
            <w:r w:rsidRPr="00101CE7">
              <w:rPr>
                <w:rFonts w:ascii="Arial" w:hAnsi="Arial" w:cs="Arial"/>
                <w:sz w:val="18"/>
                <w:szCs w:val="18"/>
                <w:lang w:val="it-IT"/>
              </w:rPr>
              <w:t>4</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10</w:t>
            </w:r>
            <w:r w:rsidR="0082509E" w:rsidRPr="00101CE7">
              <w:rPr>
                <w:rFonts w:ascii="Arial" w:hAnsi="Arial" w:cs="Arial"/>
                <w:sz w:val="18"/>
                <w:szCs w:val="18"/>
                <w:lang w:val="it-IT"/>
              </w:rPr>
              <w:t>.</w:t>
            </w:r>
            <w:r w:rsidRPr="00101CE7">
              <w:rPr>
                <w:rFonts w:ascii="Arial" w:hAnsi="Arial" w:cs="Arial"/>
                <w:sz w:val="18"/>
                <w:szCs w:val="18"/>
                <w:lang w:val="it-IT"/>
              </w:rPr>
              <w:t>4 %</w:t>
            </w:r>
          </w:p>
        </w:tc>
      </w:tr>
      <w:tr w:rsidR="00D67387" w:rsidRPr="00101CE7" w:rsidTr="007B067E">
        <w:trPr>
          <w:trHeight w:val="284"/>
        </w:trPr>
        <w:tc>
          <w:tcPr>
            <w:tcW w:w="2948" w:type="dxa"/>
            <w:vAlign w:val="center"/>
          </w:tcPr>
          <w:p w:rsidR="00D67387" w:rsidRPr="00101CE7" w:rsidRDefault="00D67387" w:rsidP="00433392">
            <w:pPr>
              <w:tabs>
                <w:tab w:val="left" w:pos="8505"/>
              </w:tabs>
              <w:rPr>
                <w:lang w:val="en-US"/>
              </w:rPr>
            </w:pPr>
            <w:r w:rsidRPr="00101CE7">
              <w:rPr>
                <w:rFonts w:ascii="Arial" w:hAnsi="Arial"/>
                <w:sz w:val="18"/>
                <w:lang w:val="en-GB"/>
              </w:rPr>
              <w:t>EBIT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34</w:t>
            </w:r>
            <w:r w:rsidR="0082509E" w:rsidRPr="00101CE7">
              <w:rPr>
                <w:rFonts w:ascii="Arial" w:hAnsi="Arial" w:cs="Arial"/>
                <w:sz w:val="18"/>
                <w:szCs w:val="18"/>
                <w:lang w:val="it-IT"/>
              </w:rPr>
              <w:t>.</w:t>
            </w:r>
            <w:r w:rsidRPr="00101CE7">
              <w:rPr>
                <w:rFonts w:ascii="Arial" w:hAnsi="Arial" w:cs="Arial"/>
                <w:sz w:val="18"/>
                <w:szCs w:val="18"/>
                <w:lang w:val="it-IT"/>
              </w:rPr>
              <w:t>7</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36</w:t>
            </w:r>
            <w:r w:rsidR="0082509E" w:rsidRPr="00101CE7">
              <w:rPr>
                <w:rFonts w:ascii="Arial" w:hAnsi="Arial" w:cs="Arial"/>
                <w:sz w:val="18"/>
                <w:szCs w:val="18"/>
                <w:lang w:val="it-IT"/>
              </w:rPr>
              <w:t>.</w:t>
            </w:r>
            <w:r w:rsidRPr="00101CE7">
              <w:rPr>
                <w:rFonts w:ascii="Arial" w:hAnsi="Arial" w:cs="Arial"/>
                <w:sz w:val="18"/>
                <w:szCs w:val="18"/>
                <w:lang w:val="it-IT"/>
              </w:rPr>
              <w:t>5</w:t>
            </w:r>
          </w:p>
        </w:tc>
        <w:tc>
          <w:tcPr>
            <w:tcW w:w="804" w:type="dxa"/>
            <w:tcMar>
              <w:left w:w="28" w:type="dxa"/>
              <w:right w:w="28" w:type="dxa"/>
            </w:tcMar>
            <w:vAlign w:val="center"/>
          </w:tcPr>
          <w:p w:rsidR="00D67387" w:rsidRPr="00101CE7" w:rsidRDefault="0082509E"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w:t>
            </w:r>
            <w:r w:rsidR="00D67387" w:rsidRPr="00101CE7">
              <w:rPr>
                <w:rFonts w:ascii="Arial" w:hAnsi="Arial" w:cs="Arial"/>
                <w:sz w:val="18"/>
                <w:szCs w:val="18"/>
                <w:lang w:val="it-IT"/>
              </w:rPr>
              <w:t>4</w:t>
            </w:r>
            <w:r w:rsidRPr="00101CE7">
              <w:rPr>
                <w:rFonts w:ascii="Arial" w:hAnsi="Arial" w:cs="Arial"/>
                <w:sz w:val="18"/>
                <w:szCs w:val="18"/>
                <w:lang w:val="it-IT"/>
              </w:rPr>
              <w:t>.</w:t>
            </w:r>
            <w:r w:rsidR="00D67387" w:rsidRPr="00101CE7">
              <w:rPr>
                <w:rFonts w:ascii="Arial" w:hAnsi="Arial" w:cs="Arial"/>
                <w:sz w:val="18"/>
                <w:szCs w:val="18"/>
                <w:lang w:val="it-IT"/>
              </w:rPr>
              <w:t>9</w:t>
            </w:r>
            <w:r w:rsidRPr="00101CE7">
              <w:rPr>
                <w:rFonts w:ascii="Arial" w:hAnsi="Arial" w:cs="Arial"/>
                <w:sz w:val="18"/>
                <w:szCs w:val="18"/>
                <w:lang w:val="it-IT"/>
              </w:rPr>
              <w:t>)</w:t>
            </w:r>
            <w:r w:rsidR="00D67387" w:rsidRPr="00101CE7">
              <w:rPr>
                <w:rFonts w:ascii="Arial" w:hAnsi="Arial" w:cs="Arial"/>
                <w:sz w:val="18"/>
                <w:szCs w:val="18"/>
                <w:lang w:val="it-IT"/>
              </w:rPr>
              <w:t xml:space="preserve">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132</w:t>
            </w:r>
            <w:r w:rsidR="0082509E" w:rsidRPr="00101CE7">
              <w:rPr>
                <w:rFonts w:ascii="Arial" w:hAnsi="Arial" w:cs="Arial"/>
                <w:sz w:val="18"/>
                <w:szCs w:val="18"/>
                <w:lang w:val="it-IT"/>
              </w:rPr>
              <w:t>.</w:t>
            </w:r>
            <w:r w:rsidRPr="00101CE7">
              <w:rPr>
                <w:rFonts w:ascii="Arial" w:hAnsi="Arial" w:cs="Arial"/>
                <w:sz w:val="18"/>
                <w:szCs w:val="18"/>
                <w:lang w:val="it-IT"/>
              </w:rPr>
              <w:t>7</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114</w:t>
            </w:r>
            <w:r w:rsidR="0082509E" w:rsidRPr="00101CE7">
              <w:rPr>
                <w:rFonts w:ascii="Arial" w:hAnsi="Arial" w:cs="Arial"/>
                <w:sz w:val="18"/>
                <w:szCs w:val="18"/>
                <w:lang w:val="it-IT"/>
              </w:rPr>
              <w:t>.</w:t>
            </w:r>
            <w:r w:rsidRPr="00101CE7">
              <w:rPr>
                <w:rFonts w:ascii="Arial" w:hAnsi="Arial" w:cs="Arial"/>
                <w:sz w:val="18"/>
                <w:szCs w:val="18"/>
                <w:lang w:val="it-IT"/>
              </w:rPr>
              <w:t>3</w:t>
            </w:r>
          </w:p>
        </w:tc>
        <w:tc>
          <w:tcPr>
            <w:tcW w:w="804" w:type="dxa"/>
            <w:shd w:val="clear" w:color="auto" w:fill="auto"/>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16</w:t>
            </w:r>
            <w:r w:rsidR="0082509E" w:rsidRPr="00101CE7">
              <w:rPr>
                <w:rFonts w:ascii="Arial" w:hAnsi="Arial" w:cs="Arial"/>
                <w:sz w:val="18"/>
                <w:szCs w:val="18"/>
                <w:lang w:val="it-IT"/>
              </w:rPr>
              <w:t>.</w:t>
            </w:r>
            <w:r w:rsidRPr="00101CE7">
              <w:rPr>
                <w:rFonts w:ascii="Arial" w:hAnsi="Arial" w:cs="Arial"/>
                <w:sz w:val="18"/>
                <w:szCs w:val="18"/>
                <w:lang w:val="it-IT"/>
              </w:rPr>
              <w:t>0 %</w:t>
            </w:r>
          </w:p>
        </w:tc>
      </w:tr>
      <w:tr w:rsidR="00D67387" w:rsidRPr="00101CE7" w:rsidTr="007B067E">
        <w:trPr>
          <w:trHeight w:val="284"/>
        </w:trPr>
        <w:tc>
          <w:tcPr>
            <w:tcW w:w="2948" w:type="dxa"/>
            <w:vAlign w:val="center"/>
          </w:tcPr>
          <w:p w:rsidR="00D67387" w:rsidRPr="00101CE7" w:rsidRDefault="00D67387" w:rsidP="00404C26">
            <w:pPr>
              <w:tabs>
                <w:tab w:val="left" w:pos="8505"/>
              </w:tabs>
              <w:rPr>
                <w:lang w:val="en-US"/>
              </w:rPr>
            </w:pPr>
            <w:r w:rsidRPr="00101CE7">
              <w:rPr>
                <w:rFonts w:ascii="Arial" w:hAnsi="Arial"/>
                <w:sz w:val="18"/>
                <w:lang w:val="en-GB"/>
              </w:rPr>
              <w:t>Adjusted EBIT *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36</w:t>
            </w:r>
            <w:r w:rsidR="0082509E" w:rsidRPr="00101CE7">
              <w:rPr>
                <w:rFonts w:ascii="Arial" w:hAnsi="Arial" w:cs="Arial"/>
                <w:sz w:val="18"/>
                <w:szCs w:val="18"/>
                <w:lang w:val="en-US"/>
              </w:rPr>
              <w:t>.</w:t>
            </w:r>
            <w:r w:rsidRPr="00101CE7">
              <w:rPr>
                <w:rFonts w:ascii="Arial" w:hAnsi="Arial" w:cs="Arial"/>
                <w:sz w:val="18"/>
                <w:szCs w:val="18"/>
                <w:lang w:val="en-US"/>
              </w:rPr>
              <w:t>4</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49</w:t>
            </w:r>
            <w:r w:rsidR="0082509E" w:rsidRPr="00101CE7">
              <w:rPr>
                <w:rFonts w:ascii="Arial" w:hAnsi="Arial" w:cs="Arial"/>
                <w:sz w:val="18"/>
                <w:szCs w:val="18"/>
                <w:lang w:val="en-US"/>
              </w:rPr>
              <w:t>.</w:t>
            </w:r>
            <w:r w:rsidRPr="00101CE7">
              <w:rPr>
                <w:rFonts w:ascii="Arial" w:hAnsi="Arial" w:cs="Arial"/>
                <w:sz w:val="18"/>
                <w:szCs w:val="18"/>
                <w:lang w:val="en-US"/>
              </w:rPr>
              <w:t>8</w:t>
            </w:r>
          </w:p>
        </w:tc>
        <w:tc>
          <w:tcPr>
            <w:tcW w:w="804" w:type="dxa"/>
            <w:tcMar>
              <w:left w:w="28" w:type="dxa"/>
              <w:right w:w="28" w:type="dxa"/>
            </w:tcMar>
            <w:vAlign w:val="center"/>
          </w:tcPr>
          <w:p w:rsidR="00D67387" w:rsidRPr="00101CE7" w:rsidRDefault="0082509E"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w:t>
            </w:r>
            <w:r w:rsidR="00D67387" w:rsidRPr="00101CE7">
              <w:rPr>
                <w:rFonts w:ascii="Arial" w:hAnsi="Arial" w:cs="Arial"/>
                <w:sz w:val="18"/>
                <w:szCs w:val="18"/>
                <w:lang w:val="en-US"/>
              </w:rPr>
              <w:t>27</w:t>
            </w:r>
            <w:r w:rsidRPr="00101CE7">
              <w:rPr>
                <w:rFonts w:ascii="Arial" w:hAnsi="Arial" w:cs="Arial"/>
                <w:sz w:val="18"/>
                <w:szCs w:val="18"/>
                <w:lang w:val="en-US"/>
              </w:rPr>
              <w:t>.</w:t>
            </w:r>
            <w:r w:rsidR="00D67387" w:rsidRPr="00101CE7">
              <w:rPr>
                <w:rFonts w:ascii="Arial" w:hAnsi="Arial" w:cs="Arial"/>
                <w:sz w:val="18"/>
                <w:szCs w:val="18"/>
                <w:lang w:val="en-US"/>
              </w:rPr>
              <w:t>0</w:t>
            </w:r>
            <w:r w:rsidRPr="00101CE7">
              <w:rPr>
                <w:rFonts w:ascii="Arial" w:hAnsi="Arial" w:cs="Arial"/>
                <w:sz w:val="18"/>
                <w:szCs w:val="18"/>
                <w:lang w:val="en-US"/>
              </w:rPr>
              <w:t>)</w:t>
            </w:r>
            <w:r w:rsidR="00D67387" w:rsidRPr="00101CE7">
              <w:rPr>
                <w:rFonts w:ascii="Arial" w:hAnsi="Arial" w:cs="Arial"/>
                <w:sz w:val="18"/>
                <w:szCs w:val="18"/>
                <w:lang w:val="en-US"/>
              </w:rPr>
              <w:t xml:space="preserve">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140</w:t>
            </w:r>
            <w:r w:rsidR="0082509E" w:rsidRPr="00101CE7">
              <w:rPr>
                <w:rFonts w:ascii="Arial" w:hAnsi="Arial" w:cs="Arial"/>
                <w:sz w:val="18"/>
                <w:szCs w:val="18"/>
                <w:lang w:val="en-US"/>
              </w:rPr>
              <w:t>.</w:t>
            </w:r>
            <w:r w:rsidRPr="00101CE7">
              <w:rPr>
                <w:rFonts w:ascii="Arial" w:hAnsi="Arial" w:cs="Arial"/>
                <w:sz w:val="18"/>
                <w:szCs w:val="18"/>
                <w:lang w:val="en-US"/>
              </w:rPr>
              <w:t>2</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144</w:t>
            </w:r>
            <w:r w:rsidR="0082509E" w:rsidRPr="00101CE7">
              <w:rPr>
                <w:rFonts w:ascii="Arial" w:hAnsi="Arial" w:cs="Arial"/>
                <w:sz w:val="18"/>
                <w:szCs w:val="18"/>
                <w:lang w:val="en-US"/>
              </w:rPr>
              <w:t>.</w:t>
            </w:r>
            <w:r w:rsidRPr="00101CE7">
              <w:rPr>
                <w:rFonts w:ascii="Arial" w:hAnsi="Arial" w:cs="Arial"/>
                <w:sz w:val="18"/>
                <w:szCs w:val="18"/>
                <w:lang w:val="en-US"/>
              </w:rPr>
              <w:t>3</w:t>
            </w:r>
          </w:p>
        </w:tc>
        <w:tc>
          <w:tcPr>
            <w:tcW w:w="804" w:type="dxa"/>
            <w:tcMar>
              <w:left w:w="28" w:type="dxa"/>
              <w:right w:w="28" w:type="dxa"/>
            </w:tcMar>
            <w:vAlign w:val="center"/>
          </w:tcPr>
          <w:p w:rsidR="00D67387" w:rsidRPr="00101CE7" w:rsidRDefault="0082509E"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w:t>
            </w:r>
            <w:r w:rsidR="00D67387" w:rsidRPr="00101CE7">
              <w:rPr>
                <w:rFonts w:ascii="Arial" w:hAnsi="Arial" w:cs="Arial"/>
                <w:sz w:val="18"/>
                <w:szCs w:val="18"/>
                <w:lang w:val="it-IT"/>
              </w:rPr>
              <w:t>2</w:t>
            </w:r>
            <w:r w:rsidRPr="00101CE7">
              <w:rPr>
                <w:rFonts w:ascii="Arial" w:hAnsi="Arial" w:cs="Arial"/>
                <w:sz w:val="18"/>
                <w:szCs w:val="18"/>
                <w:lang w:val="it-IT"/>
              </w:rPr>
              <w:t>.</w:t>
            </w:r>
            <w:r w:rsidR="00D67387" w:rsidRPr="00101CE7">
              <w:rPr>
                <w:rFonts w:ascii="Arial" w:hAnsi="Arial" w:cs="Arial"/>
                <w:sz w:val="18"/>
                <w:szCs w:val="18"/>
                <w:lang w:val="it-IT"/>
              </w:rPr>
              <w:t>8</w:t>
            </w:r>
            <w:r w:rsidRPr="00101CE7">
              <w:rPr>
                <w:rFonts w:ascii="Arial" w:hAnsi="Arial" w:cs="Arial"/>
                <w:sz w:val="18"/>
                <w:szCs w:val="18"/>
                <w:lang w:val="it-IT"/>
              </w:rPr>
              <w:t>)</w:t>
            </w:r>
            <w:r w:rsidR="00D67387" w:rsidRPr="00101CE7">
              <w:rPr>
                <w:rFonts w:ascii="Arial" w:hAnsi="Arial" w:cs="Arial"/>
                <w:sz w:val="18"/>
                <w:szCs w:val="18"/>
                <w:lang w:val="it-IT"/>
              </w:rPr>
              <w:t xml:space="preserve"> %</w:t>
            </w:r>
          </w:p>
        </w:tc>
      </w:tr>
      <w:tr w:rsidR="00D67387" w:rsidRPr="00101CE7" w:rsidTr="007B067E">
        <w:trPr>
          <w:trHeight w:val="284"/>
        </w:trPr>
        <w:tc>
          <w:tcPr>
            <w:tcW w:w="2948" w:type="dxa"/>
            <w:vAlign w:val="center"/>
          </w:tcPr>
          <w:p w:rsidR="00D67387" w:rsidRPr="00101CE7" w:rsidRDefault="00D67387" w:rsidP="00433392">
            <w:pPr>
              <w:tabs>
                <w:tab w:val="left" w:pos="8505"/>
              </w:tabs>
              <w:rPr>
                <w:lang w:val="en-US"/>
              </w:rPr>
            </w:pPr>
            <w:r w:rsidRPr="00101CE7">
              <w:rPr>
                <w:rFonts w:ascii="Arial" w:hAnsi="Arial"/>
                <w:sz w:val="18"/>
                <w:lang w:val="en-GB"/>
              </w:rPr>
              <w:t>EBT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26</w:t>
            </w:r>
            <w:r w:rsidR="0082509E" w:rsidRPr="00101CE7">
              <w:rPr>
                <w:rFonts w:ascii="Arial" w:hAnsi="Arial" w:cs="Arial"/>
                <w:sz w:val="18"/>
                <w:szCs w:val="18"/>
              </w:rPr>
              <w:t>.</w:t>
            </w:r>
            <w:r w:rsidRPr="00101CE7">
              <w:rPr>
                <w:rFonts w:ascii="Arial" w:hAnsi="Arial" w:cs="Arial"/>
                <w:sz w:val="18"/>
                <w:szCs w:val="18"/>
              </w:rPr>
              <w:t>0</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29</w:t>
            </w:r>
            <w:r w:rsidR="0082509E" w:rsidRPr="00101CE7">
              <w:rPr>
                <w:rFonts w:ascii="Arial" w:hAnsi="Arial" w:cs="Arial"/>
                <w:sz w:val="18"/>
                <w:szCs w:val="18"/>
              </w:rPr>
              <w:t>.</w:t>
            </w:r>
            <w:r w:rsidRPr="00101CE7">
              <w:rPr>
                <w:rFonts w:ascii="Arial" w:hAnsi="Arial" w:cs="Arial"/>
                <w:sz w:val="18"/>
                <w:szCs w:val="18"/>
              </w:rPr>
              <w:t>9</w:t>
            </w:r>
          </w:p>
        </w:tc>
        <w:tc>
          <w:tcPr>
            <w:tcW w:w="804" w:type="dxa"/>
            <w:tcMar>
              <w:left w:w="28" w:type="dxa"/>
              <w:right w:w="28" w:type="dxa"/>
            </w:tcMar>
            <w:vAlign w:val="center"/>
          </w:tcPr>
          <w:p w:rsidR="00D67387" w:rsidRPr="00101CE7" w:rsidRDefault="0082509E"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w:t>
            </w:r>
            <w:r w:rsidR="00D67387" w:rsidRPr="00101CE7">
              <w:rPr>
                <w:rFonts w:ascii="Arial" w:hAnsi="Arial" w:cs="Arial"/>
                <w:sz w:val="18"/>
                <w:szCs w:val="18"/>
              </w:rPr>
              <w:t>13</w:t>
            </w:r>
            <w:r w:rsidRPr="00101CE7">
              <w:rPr>
                <w:rFonts w:ascii="Arial" w:hAnsi="Arial" w:cs="Arial"/>
                <w:sz w:val="18"/>
                <w:szCs w:val="18"/>
              </w:rPr>
              <w:t>.</w:t>
            </w:r>
            <w:r w:rsidR="00D67387" w:rsidRPr="00101CE7">
              <w:rPr>
                <w:rFonts w:ascii="Arial" w:hAnsi="Arial" w:cs="Arial"/>
                <w:sz w:val="18"/>
                <w:szCs w:val="18"/>
              </w:rPr>
              <w:t>1</w:t>
            </w:r>
            <w:r w:rsidRPr="00101CE7">
              <w:rPr>
                <w:rFonts w:ascii="Arial" w:hAnsi="Arial" w:cs="Arial"/>
                <w:sz w:val="18"/>
                <w:szCs w:val="18"/>
              </w:rPr>
              <w:t>)</w:t>
            </w:r>
            <w:r w:rsidR="00D67387" w:rsidRPr="00101CE7">
              <w:rPr>
                <w:rFonts w:ascii="Arial" w:hAnsi="Arial" w:cs="Arial"/>
                <w:sz w:val="18"/>
                <w:szCs w:val="18"/>
              </w:rPr>
              <w:t xml:space="preserve">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109</w:t>
            </w:r>
            <w:r w:rsidR="0082509E" w:rsidRPr="00101CE7">
              <w:rPr>
                <w:rFonts w:ascii="Arial" w:hAnsi="Arial" w:cs="Arial"/>
                <w:sz w:val="18"/>
                <w:szCs w:val="18"/>
              </w:rPr>
              <w:t>.</w:t>
            </w:r>
            <w:r w:rsidRPr="00101CE7">
              <w:rPr>
                <w:rFonts w:ascii="Arial" w:hAnsi="Arial" w:cs="Arial"/>
                <w:sz w:val="18"/>
                <w:szCs w:val="18"/>
              </w:rPr>
              <w:t>3</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90</w:t>
            </w:r>
            <w:r w:rsidR="0082509E" w:rsidRPr="00101CE7">
              <w:rPr>
                <w:rFonts w:ascii="Arial" w:hAnsi="Arial" w:cs="Arial"/>
                <w:sz w:val="18"/>
                <w:szCs w:val="18"/>
              </w:rPr>
              <w:t>.</w:t>
            </w:r>
            <w:r w:rsidRPr="00101CE7">
              <w:rPr>
                <w:rFonts w:ascii="Arial" w:hAnsi="Arial" w:cs="Arial"/>
                <w:sz w:val="18"/>
                <w:szCs w:val="18"/>
              </w:rPr>
              <w:t>8</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20</w:t>
            </w:r>
            <w:r w:rsidR="0082509E" w:rsidRPr="00101CE7">
              <w:rPr>
                <w:rFonts w:ascii="Arial" w:hAnsi="Arial" w:cs="Arial"/>
                <w:sz w:val="18"/>
                <w:szCs w:val="18"/>
                <w:lang w:val="it-IT"/>
              </w:rPr>
              <w:t>.</w:t>
            </w:r>
            <w:r w:rsidRPr="00101CE7">
              <w:rPr>
                <w:rFonts w:ascii="Arial" w:hAnsi="Arial" w:cs="Arial"/>
                <w:sz w:val="18"/>
                <w:szCs w:val="18"/>
                <w:lang w:val="it-IT"/>
              </w:rPr>
              <w:t>4 %</w:t>
            </w:r>
          </w:p>
        </w:tc>
      </w:tr>
      <w:tr w:rsidR="00D67387" w:rsidRPr="00101CE7" w:rsidTr="007B067E">
        <w:trPr>
          <w:trHeight w:val="284"/>
        </w:trPr>
        <w:tc>
          <w:tcPr>
            <w:tcW w:w="2948" w:type="dxa"/>
            <w:vAlign w:val="center"/>
          </w:tcPr>
          <w:p w:rsidR="00D67387" w:rsidRPr="00101CE7" w:rsidRDefault="00D67387" w:rsidP="00433392">
            <w:pPr>
              <w:tabs>
                <w:tab w:val="left" w:pos="8505"/>
              </w:tabs>
            </w:pPr>
            <w:r w:rsidRPr="00101CE7">
              <w:rPr>
                <w:rFonts w:ascii="Arial" w:hAnsi="Arial"/>
                <w:sz w:val="18"/>
                <w:lang w:val="en-GB"/>
              </w:rPr>
              <w:t>Consolidated net income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16</w:t>
            </w:r>
            <w:r w:rsidR="0082509E" w:rsidRPr="00101CE7">
              <w:rPr>
                <w:rFonts w:ascii="Arial" w:hAnsi="Arial" w:cs="Arial"/>
                <w:sz w:val="18"/>
                <w:szCs w:val="18"/>
              </w:rPr>
              <w:t>.</w:t>
            </w:r>
            <w:r w:rsidRPr="00101CE7">
              <w:rPr>
                <w:rFonts w:ascii="Arial" w:hAnsi="Arial" w:cs="Arial"/>
                <w:sz w:val="18"/>
                <w:szCs w:val="18"/>
              </w:rPr>
              <w:t>1</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18</w:t>
            </w:r>
            <w:r w:rsidR="0082509E" w:rsidRPr="00101CE7">
              <w:rPr>
                <w:rFonts w:ascii="Arial" w:hAnsi="Arial" w:cs="Arial"/>
                <w:sz w:val="18"/>
                <w:szCs w:val="18"/>
              </w:rPr>
              <w:t>.</w:t>
            </w:r>
            <w:r w:rsidRPr="00101CE7">
              <w:rPr>
                <w:rFonts w:ascii="Arial" w:hAnsi="Arial" w:cs="Arial"/>
                <w:sz w:val="18"/>
                <w:szCs w:val="18"/>
              </w:rPr>
              <w:t>0</w:t>
            </w:r>
          </w:p>
        </w:tc>
        <w:tc>
          <w:tcPr>
            <w:tcW w:w="804" w:type="dxa"/>
            <w:tcMar>
              <w:left w:w="28" w:type="dxa"/>
              <w:right w:w="28" w:type="dxa"/>
            </w:tcMar>
            <w:vAlign w:val="center"/>
          </w:tcPr>
          <w:p w:rsidR="00D67387" w:rsidRPr="00101CE7" w:rsidRDefault="0082509E"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w:t>
            </w:r>
            <w:r w:rsidR="00D67387" w:rsidRPr="00101CE7">
              <w:rPr>
                <w:rFonts w:ascii="Arial" w:hAnsi="Arial" w:cs="Arial"/>
                <w:sz w:val="18"/>
                <w:szCs w:val="18"/>
              </w:rPr>
              <w:t>10</w:t>
            </w:r>
            <w:r w:rsidRPr="00101CE7">
              <w:rPr>
                <w:rFonts w:ascii="Arial" w:hAnsi="Arial" w:cs="Arial"/>
                <w:sz w:val="18"/>
                <w:szCs w:val="18"/>
              </w:rPr>
              <w:t>.</w:t>
            </w:r>
            <w:r w:rsidR="00D67387" w:rsidRPr="00101CE7">
              <w:rPr>
                <w:rFonts w:ascii="Arial" w:hAnsi="Arial" w:cs="Arial"/>
                <w:sz w:val="18"/>
                <w:szCs w:val="18"/>
              </w:rPr>
              <w:t>6</w:t>
            </w:r>
            <w:r w:rsidRPr="00101CE7">
              <w:rPr>
                <w:rFonts w:ascii="Arial" w:hAnsi="Arial" w:cs="Arial"/>
                <w:sz w:val="18"/>
                <w:szCs w:val="18"/>
              </w:rPr>
              <w:t>)</w:t>
            </w:r>
            <w:r w:rsidR="00D67387" w:rsidRPr="00101CE7">
              <w:rPr>
                <w:rFonts w:ascii="Arial" w:hAnsi="Arial" w:cs="Arial"/>
                <w:sz w:val="18"/>
                <w:szCs w:val="18"/>
              </w:rPr>
              <w:t xml:space="preserve">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77</w:t>
            </w:r>
            <w:r w:rsidR="0082509E" w:rsidRPr="00101CE7">
              <w:rPr>
                <w:rFonts w:ascii="Arial" w:hAnsi="Arial" w:cs="Arial"/>
                <w:sz w:val="18"/>
                <w:szCs w:val="18"/>
              </w:rPr>
              <w:t>.</w:t>
            </w:r>
            <w:r w:rsidRPr="00101CE7">
              <w:rPr>
                <w:rFonts w:ascii="Arial" w:hAnsi="Arial" w:cs="Arial"/>
                <w:sz w:val="18"/>
                <w:szCs w:val="18"/>
              </w:rPr>
              <w:t xml:space="preserve">5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64</w:t>
            </w:r>
            <w:r w:rsidR="0082509E" w:rsidRPr="00101CE7">
              <w:rPr>
                <w:rFonts w:ascii="Arial" w:hAnsi="Arial" w:cs="Arial"/>
                <w:sz w:val="18"/>
                <w:szCs w:val="18"/>
              </w:rPr>
              <w:t>.</w:t>
            </w:r>
            <w:r w:rsidRPr="00101CE7">
              <w:rPr>
                <w:rFonts w:ascii="Arial" w:hAnsi="Arial" w:cs="Arial"/>
                <w:sz w:val="18"/>
                <w:szCs w:val="18"/>
              </w:rPr>
              <w:t>1</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20</w:t>
            </w:r>
            <w:r w:rsidR="0082509E" w:rsidRPr="00101CE7">
              <w:rPr>
                <w:rFonts w:ascii="Arial" w:hAnsi="Arial" w:cs="Arial"/>
                <w:sz w:val="18"/>
                <w:szCs w:val="18"/>
                <w:lang w:val="it-IT"/>
              </w:rPr>
              <w:t>.</w:t>
            </w:r>
            <w:r w:rsidRPr="00101CE7">
              <w:rPr>
                <w:rFonts w:ascii="Arial" w:hAnsi="Arial" w:cs="Arial"/>
                <w:sz w:val="18"/>
                <w:szCs w:val="18"/>
                <w:lang w:val="it-IT"/>
              </w:rPr>
              <w:t>9 %</w:t>
            </w:r>
          </w:p>
        </w:tc>
      </w:tr>
      <w:tr w:rsidR="00D67387" w:rsidRPr="00101CE7" w:rsidTr="007B067E">
        <w:trPr>
          <w:trHeight w:val="284"/>
        </w:trPr>
        <w:tc>
          <w:tcPr>
            <w:tcW w:w="2948" w:type="dxa"/>
            <w:vAlign w:val="center"/>
          </w:tcPr>
          <w:p w:rsidR="00D67387" w:rsidRPr="00101CE7" w:rsidRDefault="00D67387" w:rsidP="00433392">
            <w:pPr>
              <w:tabs>
                <w:tab w:val="left" w:pos="8505"/>
              </w:tabs>
              <w:rPr>
                <w:lang w:val="en-US"/>
              </w:rPr>
            </w:pPr>
            <w:r w:rsidRPr="00101CE7">
              <w:rPr>
                <w:rFonts w:ascii="Arial" w:hAnsi="Arial"/>
                <w:sz w:val="18"/>
                <w:lang w:val="en-GB"/>
              </w:rPr>
              <w:t>Capex incl. acquisitions [€ million]</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51</w:t>
            </w:r>
            <w:r w:rsidR="0082509E" w:rsidRPr="00101CE7">
              <w:rPr>
                <w:rFonts w:ascii="Arial" w:hAnsi="Arial" w:cs="Arial"/>
                <w:sz w:val="18"/>
                <w:szCs w:val="18"/>
                <w:lang w:val="en-US"/>
              </w:rPr>
              <w:t>.</w:t>
            </w:r>
            <w:r w:rsidRPr="00101CE7">
              <w:rPr>
                <w:rFonts w:ascii="Arial" w:hAnsi="Arial" w:cs="Arial"/>
                <w:sz w:val="18"/>
                <w:szCs w:val="18"/>
                <w:lang w:val="en-US"/>
              </w:rPr>
              <w:t>0</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32</w:t>
            </w:r>
            <w:r w:rsidR="0082509E" w:rsidRPr="00101CE7">
              <w:rPr>
                <w:rFonts w:ascii="Arial" w:hAnsi="Arial" w:cs="Arial"/>
                <w:sz w:val="18"/>
                <w:szCs w:val="18"/>
                <w:lang w:val="en-US"/>
              </w:rPr>
              <w:t>.</w:t>
            </w:r>
            <w:r w:rsidRPr="00101CE7">
              <w:rPr>
                <w:rFonts w:ascii="Arial" w:hAnsi="Arial" w:cs="Arial"/>
                <w:sz w:val="18"/>
                <w:szCs w:val="18"/>
                <w:lang w:val="en-US"/>
              </w:rPr>
              <w:t>7</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56</w:t>
            </w:r>
            <w:r w:rsidR="0082509E" w:rsidRPr="00101CE7">
              <w:rPr>
                <w:rFonts w:ascii="Arial" w:hAnsi="Arial" w:cs="Arial"/>
                <w:sz w:val="18"/>
                <w:szCs w:val="18"/>
                <w:lang w:val="en-US"/>
              </w:rPr>
              <w:t>.</w:t>
            </w:r>
            <w:r w:rsidRPr="00101CE7">
              <w:rPr>
                <w:rFonts w:ascii="Arial" w:hAnsi="Arial" w:cs="Arial"/>
                <w:sz w:val="18"/>
                <w:szCs w:val="18"/>
                <w:lang w:val="en-US"/>
              </w:rPr>
              <w:t>0 %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140</w:t>
            </w:r>
            <w:r w:rsidR="0082509E" w:rsidRPr="00101CE7">
              <w:rPr>
                <w:rFonts w:ascii="Arial" w:hAnsi="Arial" w:cs="Arial"/>
                <w:sz w:val="18"/>
                <w:szCs w:val="18"/>
                <w:lang w:val="en-US"/>
              </w:rPr>
              <w:t>.</w:t>
            </w:r>
            <w:r w:rsidRPr="00101CE7">
              <w:rPr>
                <w:rFonts w:ascii="Arial" w:hAnsi="Arial" w:cs="Arial"/>
                <w:sz w:val="18"/>
                <w:szCs w:val="18"/>
                <w:lang w:val="en-US"/>
              </w:rPr>
              <w:t>2</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95</w:t>
            </w:r>
            <w:r w:rsidR="0082509E" w:rsidRPr="00101CE7">
              <w:rPr>
                <w:rFonts w:ascii="Arial" w:hAnsi="Arial" w:cs="Arial"/>
                <w:sz w:val="18"/>
                <w:szCs w:val="18"/>
                <w:lang w:val="en-US"/>
              </w:rPr>
              <w:t>.</w:t>
            </w:r>
            <w:r w:rsidRPr="00101CE7">
              <w:rPr>
                <w:rFonts w:ascii="Arial" w:hAnsi="Arial" w:cs="Arial"/>
                <w:sz w:val="18"/>
                <w:szCs w:val="18"/>
                <w:lang w:val="en-US"/>
              </w:rPr>
              <w:t>2</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47</w:t>
            </w:r>
            <w:r w:rsidR="0082509E" w:rsidRPr="00101CE7">
              <w:rPr>
                <w:rFonts w:ascii="Arial" w:hAnsi="Arial" w:cs="Arial"/>
                <w:sz w:val="18"/>
                <w:szCs w:val="18"/>
                <w:lang w:val="it-IT"/>
              </w:rPr>
              <w:t>.</w:t>
            </w:r>
            <w:r w:rsidRPr="00101CE7">
              <w:rPr>
                <w:rFonts w:ascii="Arial" w:hAnsi="Arial" w:cs="Arial"/>
                <w:sz w:val="18"/>
                <w:szCs w:val="18"/>
                <w:lang w:val="it-IT"/>
              </w:rPr>
              <w:t>3 %</w:t>
            </w:r>
          </w:p>
        </w:tc>
      </w:tr>
      <w:tr w:rsidR="00D67387" w:rsidRPr="00101CE7" w:rsidTr="007B067E">
        <w:trPr>
          <w:trHeight w:val="284"/>
        </w:trPr>
        <w:tc>
          <w:tcPr>
            <w:tcW w:w="2948" w:type="dxa"/>
            <w:vAlign w:val="center"/>
          </w:tcPr>
          <w:p w:rsidR="00D67387" w:rsidRPr="00101CE7" w:rsidRDefault="00D67387" w:rsidP="00433392">
            <w:pPr>
              <w:tabs>
                <w:tab w:val="left" w:pos="8505"/>
              </w:tabs>
              <w:rPr>
                <w:rFonts w:ascii="Arial" w:hAnsi="Arial"/>
                <w:sz w:val="18"/>
                <w:lang w:val="en-GB"/>
              </w:rPr>
            </w:pPr>
            <w:r w:rsidRPr="00101CE7">
              <w:rPr>
                <w:rFonts w:ascii="Arial" w:hAnsi="Arial"/>
                <w:sz w:val="18"/>
                <w:lang w:val="en-GB"/>
              </w:rPr>
              <w:t>Equity ratio [%]</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33</w:t>
            </w:r>
            <w:r w:rsidR="0082509E" w:rsidRPr="00101CE7">
              <w:rPr>
                <w:rFonts w:ascii="Arial" w:hAnsi="Arial" w:cs="Arial"/>
                <w:sz w:val="18"/>
                <w:szCs w:val="18"/>
                <w:lang w:val="en-US"/>
              </w:rPr>
              <w:t>.</w:t>
            </w:r>
            <w:r w:rsidRPr="00101CE7">
              <w:rPr>
                <w:rFonts w:ascii="Arial" w:hAnsi="Arial" w:cs="Arial"/>
                <w:sz w:val="18"/>
                <w:szCs w:val="18"/>
                <w:lang w:val="en-US"/>
              </w:rPr>
              <w:t>9 %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33</w:t>
            </w:r>
            <w:r w:rsidR="0082509E" w:rsidRPr="00101CE7">
              <w:rPr>
                <w:rFonts w:ascii="Arial" w:hAnsi="Arial" w:cs="Arial"/>
                <w:sz w:val="18"/>
                <w:szCs w:val="18"/>
                <w:lang w:val="en-US"/>
              </w:rPr>
              <w:t>.</w:t>
            </w:r>
            <w:r w:rsidRPr="00101CE7">
              <w:rPr>
                <w:rFonts w:ascii="Arial" w:hAnsi="Arial" w:cs="Arial"/>
                <w:sz w:val="18"/>
                <w:szCs w:val="18"/>
                <w:lang w:val="en-US"/>
              </w:rPr>
              <w:t>7 %</w:t>
            </w:r>
          </w:p>
        </w:tc>
        <w:tc>
          <w:tcPr>
            <w:tcW w:w="804" w:type="dxa"/>
            <w:tcMar>
              <w:left w:w="28" w:type="dxa"/>
              <w:right w:w="28" w:type="dxa"/>
            </w:tcMar>
            <w:vAlign w:val="center"/>
          </w:tcPr>
          <w:p w:rsidR="00D67387" w:rsidRPr="00101CE7" w:rsidRDefault="00D67387" w:rsidP="00A66225">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33</w:t>
            </w:r>
            <w:r w:rsidR="0082509E" w:rsidRPr="00101CE7">
              <w:rPr>
                <w:rFonts w:ascii="Arial" w:hAnsi="Arial" w:cs="Arial"/>
                <w:sz w:val="18"/>
                <w:szCs w:val="18"/>
                <w:lang w:val="en-US"/>
              </w:rPr>
              <w:t>.</w:t>
            </w:r>
            <w:r w:rsidRPr="00101CE7">
              <w:rPr>
                <w:rFonts w:ascii="Arial" w:hAnsi="Arial" w:cs="Arial"/>
                <w:sz w:val="18"/>
                <w:szCs w:val="18"/>
                <w:lang w:val="en-US"/>
              </w:rPr>
              <w:t>9 %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33</w:t>
            </w:r>
            <w:r w:rsidR="0082509E" w:rsidRPr="00101CE7">
              <w:rPr>
                <w:rFonts w:ascii="Arial" w:hAnsi="Arial" w:cs="Arial"/>
                <w:sz w:val="18"/>
                <w:szCs w:val="18"/>
                <w:lang w:val="en-US"/>
              </w:rPr>
              <w:t>.</w:t>
            </w:r>
            <w:r w:rsidRPr="00101CE7">
              <w:rPr>
                <w:rFonts w:ascii="Arial" w:hAnsi="Arial" w:cs="Arial"/>
                <w:sz w:val="18"/>
                <w:szCs w:val="18"/>
                <w:lang w:val="en-US"/>
              </w:rPr>
              <w:t>7 %</w:t>
            </w:r>
          </w:p>
        </w:tc>
        <w:tc>
          <w:tcPr>
            <w:tcW w:w="804" w:type="dxa"/>
            <w:tcMar>
              <w:left w:w="28" w:type="dxa"/>
              <w:right w:w="28" w:type="dxa"/>
            </w:tcMar>
            <w:vAlign w:val="center"/>
          </w:tcPr>
          <w:p w:rsidR="00D67387" w:rsidRPr="00101CE7" w:rsidRDefault="00D67387" w:rsidP="00A66225">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w:t>
            </w:r>
          </w:p>
        </w:tc>
      </w:tr>
      <w:tr w:rsidR="00D67387" w:rsidRPr="00101CE7" w:rsidTr="007B067E">
        <w:trPr>
          <w:trHeight w:val="284"/>
        </w:trPr>
        <w:tc>
          <w:tcPr>
            <w:tcW w:w="2948" w:type="dxa"/>
            <w:vAlign w:val="center"/>
          </w:tcPr>
          <w:p w:rsidR="00D67387" w:rsidRPr="00101CE7" w:rsidRDefault="00D67387" w:rsidP="00433392">
            <w:pPr>
              <w:tabs>
                <w:tab w:val="left" w:pos="8505"/>
              </w:tabs>
              <w:rPr>
                <w:lang w:val="en-US"/>
              </w:rPr>
            </w:pPr>
            <w:r w:rsidRPr="00101CE7">
              <w:rPr>
                <w:rFonts w:ascii="Arial" w:hAnsi="Arial"/>
                <w:sz w:val="18"/>
                <w:lang w:val="en-GB"/>
              </w:rPr>
              <w:t>Earnings per share [€]</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0</w:t>
            </w:r>
            <w:r w:rsidR="0082509E" w:rsidRPr="00101CE7">
              <w:rPr>
                <w:rFonts w:ascii="Arial" w:hAnsi="Arial" w:cs="Arial"/>
                <w:sz w:val="18"/>
                <w:szCs w:val="18"/>
                <w:lang w:val="en-US"/>
              </w:rPr>
              <w:t>.</w:t>
            </w:r>
            <w:r w:rsidRPr="00101CE7">
              <w:rPr>
                <w:rFonts w:ascii="Arial" w:hAnsi="Arial" w:cs="Arial"/>
                <w:sz w:val="18"/>
                <w:szCs w:val="18"/>
                <w:lang w:val="en-US"/>
              </w:rPr>
              <w:t>49</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0</w:t>
            </w:r>
            <w:r w:rsidR="0082509E" w:rsidRPr="00101CE7">
              <w:rPr>
                <w:rFonts w:ascii="Arial" w:hAnsi="Arial" w:cs="Arial"/>
                <w:sz w:val="18"/>
                <w:szCs w:val="18"/>
                <w:lang w:val="en-US"/>
              </w:rPr>
              <w:t>.</w:t>
            </w:r>
            <w:r w:rsidRPr="00101CE7">
              <w:rPr>
                <w:rFonts w:ascii="Arial" w:hAnsi="Arial" w:cs="Arial"/>
                <w:sz w:val="18"/>
                <w:szCs w:val="18"/>
                <w:lang w:val="en-US"/>
              </w:rPr>
              <w:t>55</w:t>
            </w:r>
          </w:p>
        </w:tc>
        <w:tc>
          <w:tcPr>
            <w:tcW w:w="804" w:type="dxa"/>
            <w:tcMar>
              <w:left w:w="28" w:type="dxa"/>
              <w:right w:w="28" w:type="dxa"/>
            </w:tcMar>
            <w:vAlign w:val="center"/>
          </w:tcPr>
          <w:p w:rsidR="00D67387" w:rsidRPr="00101CE7" w:rsidRDefault="0082509E"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w:t>
            </w:r>
            <w:r w:rsidR="00D67387" w:rsidRPr="00101CE7">
              <w:rPr>
                <w:rFonts w:ascii="Arial" w:hAnsi="Arial" w:cs="Arial"/>
                <w:sz w:val="18"/>
                <w:szCs w:val="18"/>
                <w:lang w:val="en-US"/>
              </w:rPr>
              <w:t>10</w:t>
            </w:r>
            <w:r w:rsidRPr="00101CE7">
              <w:rPr>
                <w:rFonts w:ascii="Arial" w:hAnsi="Arial" w:cs="Arial"/>
                <w:sz w:val="18"/>
                <w:szCs w:val="18"/>
                <w:lang w:val="en-US"/>
              </w:rPr>
              <w:t>.</w:t>
            </w:r>
            <w:r w:rsidR="00D67387" w:rsidRPr="00101CE7">
              <w:rPr>
                <w:rFonts w:ascii="Arial" w:hAnsi="Arial" w:cs="Arial"/>
                <w:sz w:val="18"/>
                <w:szCs w:val="18"/>
                <w:lang w:val="en-US"/>
              </w:rPr>
              <w:t>9</w:t>
            </w:r>
            <w:r w:rsidRPr="00101CE7">
              <w:rPr>
                <w:rFonts w:ascii="Arial" w:hAnsi="Arial" w:cs="Arial"/>
                <w:sz w:val="18"/>
                <w:szCs w:val="18"/>
                <w:lang w:val="en-US"/>
              </w:rPr>
              <w:t>)</w:t>
            </w:r>
            <w:r w:rsidR="00D67387" w:rsidRPr="00101CE7">
              <w:rPr>
                <w:rFonts w:ascii="Arial" w:hAnsi="Arial" w:cs="Arial"/>
                <w:sz w:val="18"/>
                <w:szCs w:val="18"/>
                <w:lang w:val="en-US"/>
              </w:rPr>
              <w:t xml:space="preserve">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2</w:t>
            </w:r>
            <w:r w:rsidR="0082509E" w:rsidRPr="00101CE7">
              <w:rPr>
                <w:rFonts w:ascii="Arial" w:hAnsi="Arial" w:cs="Arial"/>
                <w:sz w:val="18"/>
                <w:szCs w:val="18"/>
                <w:lang w:val="en-US"/>
              </w:rPr>
              <w:t>.</w:t>
            </w:r>
            <w:r w:rsidRPr="00101CE7">
              <w:rPr>
                <w:rFonts w:ascii="Arial" w:hAnsi="Arial" w:cs="Arial"/>
                <w:sz w:val="18"/>
                <w:szCs w:val="18"/>
                <w:lang w:val="en-US"/>
              </w:rPr>
              <w:t>37</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1</w:t>
            </w:r>
            <w:r w:rsidR="0082509E" w:rsidRPr="00101CE7">
              <w:rPr>
                <w:rFonts w:ascii="Arial" w:hAnsi="Arial" w:cs="Arial"/>
                <w:sz w:val="18"/>
                <w:szCs w:val="18"/>
                <w:lang w:val="en-US"/>
              </w:rPr>
              <w:t>.</w:t>
            </w:r>
            <w:r w:rsidRPr="00101CE7">
              <w:rPr>
                <w:rFonts w:ascii="Arial" w:hAnsi="Arial" w:cs="Arial"/>
                <w:sz w:val="18"/>
                <w:szCs w:val="18"/>
                <w:lang w:val="en-US"/>
              </w:rPr>
              <w:t>95</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21</w:t>
            </w:r>
            <w:r w:rsidR="0082509E" w:rsidRPr="00101CE7">
              <w:rPr>
                <w:rFonts w:ascii="Arial" w:hAnsi="Arial" w:cs="Arial"/>
                <w:sz w:val="18"/>
                <w:szCs w:val="18"/>
                <w:lang w:val="it-IT"/>
              </w:rPr>
              <w:t>.</w:t>
            </w:r>
            <w:r w:rsidRPr="00101CE7">
              <w:rPr>
                <w:rFonts w:ascii="Arial" w:hAnsi="Arial" w:cs="Arial"/>
                <w:sz w:val="18"/>
                <w:szCs w:val="18"/>
                <w:lang w:val="it-IT"/>
              </w:rPr>
              <w:t>5 %</w:t>
            </w:r>
          </w:p>
        </w:tc>
      </w:tr>
      <w:tr w:rsidR="00D67387" w:rsidRPr="00101CE7" w:rsidTr="007B067E">
        <w:trPr>
          <w:trHeight w:val="284"/>
        </w:trPr>
        <w:tc>
          <w:tcPr>
            <w:tcW w:w="2948" w:type="dxa"/>
            <w:vAlign w:val="center"/>
          </w:tcPr>
          <w:p w:rsidR="00D67387" w:rsidRPr="00101CE7" w:rsidRDefault="00D67387" w:rsidP="00B84EE5">
            <w:pPr>
              <w:tabs>
                <w:tab w:val="left" w:pos="8505"/>
              </w:tabs>
              <w:rPr>
                <w:lang w:val="en-US"/>
              </w:rPr>
            </w:pPr>
            <w:r w:rsidRPr="00101CE7">
              <w:rPr>
                <w:rFonts w:ascii="Arial" w:hAnsi="Arial"/>
                <w:sz w:val="18"/>
                <w:lang w:val="en-GB"/>
              </w:rPr>
              <w:t>Employees [as at 30 June]</w:t>
            </w:r>
          </w:p>
        </w:tc>
        <w:tc>
          <w:tcPr>
            <w:tcW w:w="803" w:type="dxa"/>
            <w:noWrap/>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67</w:t>
            </w:r>
            <w:r w:rsidR="0082509E" w:rsidRPr="00101CE7">
              <w:rPr>
                <w:rFonts w:ascii="Arial" w:hAnsi="Arial" w:cs="Arial"/>
                <w:sz w:val="18"/>
                <w:szCs w:val="18"/>
              </w:rPr>
              <w:t>,</w:t>
            </w:r>
            <w:r w:rsidRPr="00101CE7">
              <w:rPr>
                <w:rFonts w:ascii="Arial" w:hAnsi="Arial" w:cs="Arial"/>
                <w:sz w:val="18"/>
                <w:szCs w:val="18"/>
              </w:rPr>
              <w:t>391</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rPr>
            </w:pPr>
            <w:r w:rsidRPr="00101CE7">
              <w:rPr>
                <w:rFonts w:ascii="Arial" w:hAnsi="Arial" w:cs="Arial"/>
                <w:sz w:val="18"/>
                <w:szCs w:val="18"/>
              </w:rPr>
              <w:t>60</w:t>
            </w:r>
            <w:r w:rsidR="0082509E" w:rsidRPr="00101CE7">
              <w:rPr>
                <w:rFonts w:ascii="Arial" w:hAnsi="Arial" w:cs="Arial"/>
                <w:sz w:val="18"/>
                <w:szCs w:val="18"/>
              </w:rPr>
              <w:t>,</w:t>
            </w:r>
            <w:r w:rsidRPr="00101CE7">
              <w:rPr>
                <w:rFonts w:ascii="Arial" w:hAnsi="Arial" w:cs="Arial"/>
                <w:sz w:val="18"/>
                <w:szCs w:val="18"/>
              </w:rPr>
              <w:t>088</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12</w:t>
            </w:r>
            <w:r w:rsidR="0082509E" w:rsidRPr="00101CE7">
              <w:rPr>
                <w:rFonts w:ascii="Arial" w:hAnsi="Arial" w:cs="Arial"/>
                <w:sz w:val="18"/>
                <w:szCs w:val="18"/>
                <w:lang w:val="en-US"/>
              </w:rPr>
              <w:t>.</w:t>
            </w:r>
            <w:r w:rsidRPr="00101CE7">
              <w:rPr>
                <w:rFonts w:ascii="Arial" w:hAnsi="Arial" w:cs="Arial"/>
                <w:sz w:val="18"/>
                <w:szCs w:val="18"/>
                <w:lang w:val="en-US"/>
              </w:rPr>
              <w:t>2 %</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67</w:t>
            </w:r>
            <w:r w:rsidR="0082509E" w:rsidRPr="00101CE7">
              <w:rPr>
                <w:rFonts w:ascii="Arial" w:hAnsi="Arial" w:cs="Arial"/>
                <w:sz w:val="18"/>
                <w:szCs w:val="18"/>
                <w:lang w:val="en-US"/>
              </w:rPr>
              <w:t>,</w:t>
            </w:r>
            <w:r w:rsidRPr="00101CE7">
              <w:rPr>
                <w:rFonts w:ascii="Arial" w:hAnsi="Arial" w:cs="Arial"/>
                <w:sz w:val="18"/>
                <w:szCs w:val="18"/>
                <w:lang w:val="en-US"/>
              </w:rPr>
              <w:t>391</w:t>
            </w:r>
          </w:p>
        </w:tc>
        <w:tc>
          <w:tcPr>
            <w:tcW w:w="803"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en-US"/>
              </w:rPr>
            </w:pPr>
            <w:r w:rsidRPr="00101CE7">
              <w:rPr>
                <w:rFonts w:ascii="Arial" w:hAnsi="Arial" w:cs="Arial"/>
                <w:sz w:val="18"/>
                <w:szCs w:val="18"/>
                <w:lang w:val="en-US"/>
              </w:rPr>
              <w:t>60</w:t>
            </w:r>
            <w:r w:rsidR="0082509E" w:rsidRPr="00101CE7">
              <w:rPr>
                <w:rFonts w:ascii="Arial" w:hAnsi="Arial" w:cs="Arial"/>
                <w:sz w:val="18"/>
                <w:szCs w:val="18"/>
                <w:lang w:val="en-US"/>
              </w:rPr>
              <w:t>,</w:t>
            </w:r>
            <w:r w:rsidRPr="00101CE7">
              <w:rPr>
                <w:rFonts w:ascii="Arial" w:hAnsi="Arial" w:cs="Arial"/>
                <w:sz w:val="18"/>
                <w:szCs w:val="18"/>
                <w:lang w:val="en-US"/>
              </w:rPr>
              <w:t>088</w:t>
            </w:r>
          </w:p>
        </w:tc>
        <w:tc>
          <w:tcPr>
            <w:tcW w:w="804" w:type="dxa"/>
            <w:tcMar>
              <w:left w:w="28" w:type="dxa"/>
              <w:right w:w="28" w:type="dxa"/>
            </w:tcMar>
            <w:vAlign w:val="center"/>
          </w:tcPr>
          <w:p w:rsidR="00D67387" w:rsidRPr="00101CE7" w:rsidRDefault="00D67387" w:rsidP="0082509E">
            <w:pPr>
              <w:tabs>
                <w:tab w:val="left" w:pos="8505"/>
              </w:tabs>
              <w:spacing w:line="276" w:lineRule="auto"/>
              <w:jc w:val="center"/>
              <w:rPr>
                <w:rFonts w:ascii="Arial" w:hAnsi="Arial" w:cs="Arial"/>
                <w:sz w:val="18"/>
                <w:szCs w:val="18"/>
                <w:lang w:val="it-IT"/>
              </w:rPr>
            </w:pPr>
            <w:r w:rsidRPr="00101CE7">
              <w:rPr>
                <w:rFonts w:ascii="Arial" w:hAnsi="Arial" w:cs="Arial"/>
                <w:sz w:val="18"/>
                <w:szCs w:val="18"/>
                <w:lang w:val="it-IT"/>
              </w:rPr>
              <w:t>12</w:t>
            </w:r>
            <w:r w:rsidR="0082509E" w:rsidRPr="00101CE7">
              <w:rPr>
                <w:rFonts w:ascii="Arial" w:hAnsi="Arial" w:cs="Arial"/>
                <w:sz w:val="18"/>
                <w:szCs w:val="18"/>
                <w:lang w:val="it-IT"/>
              </w:rPr>
              <w:t>.</w:t>
            </w:r>
            <w:r w:rsidRPr="00101CE7">
              <w:rPr>
                <w:rFonts w:ascii="Arial" w:hAnsi="Arial" w:cs="Arial"/>
                <w:sz w:val="18"/>
                <w:szCs w:val="18"/>
                <w:lang w:val="it-IT"/>
              </w:rPr>
              <w:t>2 %</w:t>
            </w:r>
          </w:p>
        </w:tc>
      </w:tr>
    </w:tbl>
    <w:p w:rsidR="00F86DEB" w:rsidRPr="00101CE7" w:rsidRDefault="00F86DEB" w:rsidP="00744F2F">
      <w:pPr>
        <w:ind w:right="1922"/>
        <w:rPr>
          <w:rFonts w:ascii="Arial" w:hAnsi="Arial" w:cs="Arial"/>
          <w:i/>
          <w:sz w:val="16"/>
          <w:szCs w:val="16"/>
          <w:lang w:val="en-GB"/>
        </w:rPr>
      </w:pPr>
    </w:p>
    <w:p w:rsidR="00B84EE5" w:rsidRPr="00101CE7" w:rsidRDefault="00B84EE5" w:rsidP="00B84EE5">
      <w:pPr>
        <w:autoSpaceDE w:val="0"/>
        <w:autoSpaceDN w:val="0"/>
        <w:adjustRightInd w:val="0"/>
        <w:ind w:right="1852"/>
        <w:rPr>
          <w:rFonts w:ascii="Arial" w:hAnsi="Arial"/>
          <w:lang w:val="en-US"/>
        </w:rPr>
      </w:pPr>
      <w:r w:rsidRPr="00101CE7">
        <w:rPr>
          <w:rFonts w:ascii="Arial" w:hAnsi="Arial"/>
          <w:i/>
          <w:sz w:val="16"/>
          <w:lang w:val="en-GB"/>
        </w:rPr>
        <w:t>* Earnings adjusted for the impact of revaluation as part of allocating th</w:t>
      </w:r>
      <w:r w:rsidR="00787B3E" w:rsidRPr="00101CE7">
        <w:rPr>
          <w:rFonts w:ascii="Arial" w:hAnsi="Arial"/>
          <w:i/>
          <w:sz w:val="16"/>
          <w:lang w:val="en-GB"/>
        </w:rPr>
        <w:t>e prices of major acquisitions, r</w:t>
      </w:r>
      <w:r w:rsidRPr="00101CE7">
        <w:rPr>
          <w:rFonts w:ascii="Arial" w:hAnsi="Arial"/>
          <w:i/>
          <w:sz w:val="16"/>
          <w:lang w:val="en-GB"/>
        </w:rPr>
        <w:t xml:space="preserve">estructuring, </w:t>
      </w:r>
      <w:proofErr w:type="gramStart"/>
      <w:r w:rsidRPr="00101CE7">
        <w:rPr>
          <w:rFonts w:ascii="Arial" w:hAnsi="Arial"/>
          <w:i/>
          <w:sz w:val="16"/>
          <w:lang w:val="en-GB"/>
        </w:rPr>
        <w:t>impairment</w:t>
      </w:r>
      <w:proofErr w:type="gramEnd"/>
      <w:r w:rsidRPr="00101CE7">
        <w:rPr>
          <w:rFonts w:ascii="Arial" w:hAnsi="Arial"/>
          <w:i/>
          <w:sz w:val="16"/>
          <w:lang w:val="en-GB"/>
        </w:rPr>
        <w:t xml:space="preserve"> of non-current assets, gains on business disposals and on business combinations including related derivatives</w:t>
      </w:r>
      <w:r w:rsidRPr="00101CE7">
        <w:rPr>
          <w:rFonts w:ascii="Arial" w:hAnsi="Arial"/>
          <w:i/>
          <w:sz w:val="16"/>
          <w:lang w:val="en-US"/>
        </w:rPr>
        <w:t>.</w:t>
      </w:r>
    </w:p>
    <w:p w:rsidR="00B84EE5" w:rsidRPr="00B84EE5" w:rsidRDefault="00B84EE5" w:rsidP="00B84EE5">
      <w:pPr>
        <w:spacing w:before="240"/>
        <w:ind w:right="1854"/>
        <w:rPr>
          <w:rFonts w:ascii="Arial" w:hAnsi="Arial"/>
          <w:i/>
          <w:sz w:val="21"/>
          <w:lang w:val="en-GB"/>
        </w:rPr>
      </w:pPr>
      <w:r w:rsidRPr="00101CE7">
        <w:rPr>
          <w:rFonts w:ascii="Arial" w:hAnsi="Arial"/>
          <w:sz w:val="36"/>
          <w:szCs w:val="36"/>
          <w:lang w:val="en-GB"/>
        </w:rPr>
        <w:sym w:font="Wingdings" w:char="F046"/>
      </w:r>
      <w:r w:rsidRPr="00101CE7">
        <w:rPr>
          <w:rFonts w:ascii="Arial" w:hAnsi="Arial"/>
          <w:i/>
          <w:sz w:val="20"/>
          <w:lang w:val="en-GB"/>
        </w:rPr>
        <w:t xml:space="preserve"> </w:t>
      </w:r>
      <w:r w:rsidRPr="00101CE7">
        <w:rPr>
          <w:rFonts w:ascii="Arial" w:hAnsi="Arial"/>
          <w:i/>
          <w:sz w:val="21"/>
          <w:lang w:val="en-GB"/>
        </w:rPr>
        <w:t xml:space="preserve">Related illustration material can be downloaded </w:t>
      </w:r>
      <w:r w:rsidR="00404C26" w:rsidRPr="00101CE7">
        <w:rPr>
          <w:rFonts w:ascii="Arial" w:hAnsi="Arial"/>
          <w:i/>
          <w:sz w:val="21"/>
          <w:lang w:val="en-GB"/>
        </w:rPr>
        <w:t>next to this release at</w:t>
      </w:r>
      <w:r w:rsidRPr="00101CE7">
        <w:rPr>
          <w:rFonts w:ascii="Arial" w:hAnsi="Arial"/>
          <w:i/>
          <w:sz w:val="21"/>
          <w:lang w:val="en-GB"/>
        </w:rPr>
        <w:t xml:space="preserve"> </w:t>
      </w:r>
      <w:hyperlink r:id="rId9" w:history="1">
        <w:r w:rsidR="0082509E" w:rsidRPr="00101CE7">
          <w:rPr>
            <w:rStyle w:val="Hyperlink"/>
            <w:rFonts w:ascii="Arial" w:hAnsi="Arial"/>
            <w:i/>
            <w:sz w:val="21"/>
            <w:lang w:val="en-GB"/>
          </w:rPr>
          <w:t>www.leoni.com/en/press/releases/details/leonis-sales-and-earnings-up-after-nine-months/</w:t>
        </w:r>
      </w:hyperlink>
      <w:r w:rsidRPr="00C85271">
        <w:rPr>
          <w:rFonts w:ascii="Arial" w:hAnsi="Arial"/>
          <w:i/>
          <w:sz w:val="21"/>
          <w:lang w:val="en-GB"/>
        </w:rPr>
        <w:t xml:space="preserv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2C049D">
        <w:rPr>
          <w:rFonts w:ascii="Arial" w:hAnsi="Arial"/>
          <w:i/>
          <w:sz w:val="21"/>
          <w:lang w:val="en-GB"/>
        </w:rPr>
        <w:t>The</w:t>
      </w:r>
      <w:proofErr w:type="gramEnd"/>
      <w:r w:rsidRPr="002C049D">
        <w:rPr>
          <w:rFonts w:ascii="Arial" w:hAnsi="Arial"/>
          <w:i/>
          <w:sz w:val="21"/>
          <w:lang w:val="en-GB"/>
        </w:rPr>
        <w:t xml:space="preserve"> complete </w:t>
      </w:r>
      <w:r>
        <w:rPr>
          <w:rFonts w:ascii="Arial" w:hAnsi="Arial"/>
          <w:i/>
          <w:sz w:val="21"/>
          <w:lang w:val="en-GB"/>
        </w:rPr>
        <w:t xml:space="preserve">quarterly </w:t>
      </w:r>
      <w:r w:rsidRPr="002C049D">
        <w:rPr>
          <w:rFonts w:ascii="Arial" w:hAnsi="Arial"/>
          <w:i/>
          <w:sz w:val="21"/>
          <w:lang w:val="en-GB"/>
        </w:rPr>
        <w:t xml:space="preserve">report can be </w:t>
      </w:r>
      <w:r>
        <w:rPr>
          <w:rFonts w:ascii="Arial" w:hAnsi="Arial"/>
          <w:i/>
          <w:sz w:val="21"/>
          <w:lang w:val="en-GB"/>
        </w:rPr>
        <w:t>foun</w:t>
      </w:r>
      <w:r w:rsidRPr="002C049D">
        <w:rPr>
          <w:rFonts w:ascii="Arial" w:hAnsi="Arial"/>
          <w:i/>
          <w:sz w:val="21"/>
          <w:lang w:val="en-GB"/>
        </w:rPr>
        <w:t>d</w:t>
      </w:r>
      <w:r>
        <w:rPr>
          <w:rFonts w:ascii="Arial" w:hAnsi="Arial"/>
          <w:i/>
          <w:sz w:val="21"/>
          <w:lang w:val="en-GB"/>
        </w:rPr>
        <w:t xml:space="preserve"> at </w:t>
      </w:r>
      <w:r w:rsidR="00327D2D">
        <w:rPr>
          <w:rFonts w:ascii="Arial" w:hAnsi="Arial"/>
          <w:i/>
          <w:sz w:val="21"/>
          <w:lang w:val="en-GB"/>
        </w:rPr>
        <w:br/>
      </w:r>
      <w:hyperlink r:id="rId10" w:history="1">
        <w:r w:rsidR="00404C26" w:rsidRPr="005966F6">
          <w:rPr>
            <w:rStyle w:val="Hyperlink"/>
            <w:rFonts w:ascii="Arial" w:hAnsi="Arial"/>
            <w:i/>
            <w:sz w:val="21"/>
            <w:lang w:val="en-GB"/>
          </w:rPr>
          <w:t>www.leoni.com/en/financial-publications/</w:t>
        </w:r>
      </w:hyperlink>
    </w:p>
    <w:p w:rsidR="00F76833" w:rsidRPr="00C85271" w:rsidRDefault="00F76833" w:rsidP="0019023D">
      <w:pPr>
        <w:pStyle w:val="MMKurzprofilberschrift"/>
        <w:rPr>
          <w:lang w:val="en-GB"/>
        </w:rPr>
      </w:pPr>
      <w:r w:rsidRPr="00C85271">
        <w:rPr>
          <w:lang w:val="en-GB"/>
        </w:rPr>
        <w:t>About the Leoni Group</w:t>
      </w:r>
    </w:p>
    <w:p w:rsidR="00F76833" w:rsidRDefault="00F76833" w:rsidP="005712FF">
      <w:pPr>
        <w:pStyle w:val="MMKurzprofil"/>
        <w:spacing w:after="120"/>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0E49EE">
        <w:rPr>
          <w:lang w:val="en-GB"/>
        </w:rPr>
        <w:t>6</w:t>
      </w:r>
      <w:r w:rsidR="00D67387">
        <w:rPr>
          <w:lang w:val="en-GB"/>
        </w:rPr>
        <w:t>7</w:t>
      </w:r>
      <w:r w:rsidRPr="00C85271">
        <w:rPr>
          <w:lang w:val="en-GB"/>
        </w:rPr>
        <w:t>,000 people in 3</w:t>
      </w:r>
      <w:r w:rsidR="00D67387">
        <w:rPr>
          <w:lang w:val="en-GB"/>
        </w:rPr>
        <w:t>1</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404C26">
        <w:rPr>
          <w:lang w:val="en-US"/>
        </w:rPr>
        <w:t>92</w:t>
      </w:r>
      <w:r w:rsidR="006C41D1" w:rsidRPr="00B572CD">
        <w:rPr>
          <w:lang w:val="en-US"/>
        </w:rPr>
        <w:t xml:space="preserve"> billion in 201</w:t>
      </w:r>
      <w:r w:rsidR="00404C26">
        <w:rPr>
          <w:lang w:val="en-US"/>
        </w:rPr>
        <w:t>3</w:t>
      </w:r>
      <w:r>
        <w:rPr>
          <w:lang w:val="en-US"/>
        </w:rPr>
        <w:t>.</w:t>
      </w:r>
    </w:p>
    <w:p w:rsidR="00B351E3" w:rsidRPr="00541D3C" w:rsidRDefault="00FC3969" w:rsidP="00744F2F">
      <w:pPr>
        <w:pStyle w:val="MMKurzprofil"/>
        <w:rPr>
          <w:lang w:val="en-US"/>
        </w:rPr>
      </w:pPr>
      <w:hyperlink r:id="rId11" w:tgtFrame="_blank" w:history="1">
        <w:r w:rsidR="003A70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2" o:title=""/>
            </v:shape>
          </w:pict>
        </w:r>
      </w:hyperlink>
      <w:r w:rsidR="00B351E3" w:rsidRPr="00541D3C">
        <w:rPr>
          <w:noProof/>
          <w:lang w:val="en-US"/>
        </w:rPr>
        <w:t xml:space="preserve"> </w:t>
      </w:r>
      <w:hyperlink r:id="rId13" w:tgtFrame="_blank" w:history="1">
        <w:r w:rsidR="003A70AA">
          <w:pict>
            <v:shape id="_x0000_i1026" type="#_x0000_t75" style="width:14.25pt;height:14.25pt" wrapcoords="-1137 0 -1137 20463 21600 20463 21600 0 -1137 0" o:allowoverlap="f" o:button="t">
              <v:imagedata r:id="rId14" o:title=""/>
            </v:shape>
          </w:pict>
        </w:r>
      </w:hyperlink>
    </w:p>
    <w:p w:rsidR="00B351E3" w:rsidRPr="00541D3C" w:rsidRDefault="00B351E3" w:rsidP="0019023D">
      <w:pPr>
        <w:pStyle w:val="MMKurzprofilberschrift"/>
        <w:rPr>
          <w:lang w:val="en-US"/>
        </w:rPr>
        <w:sectPr w:rsidR="00B351E3" w:rsidRPr="00541D3C">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744F2F" w:rsidRPr="00C85271" w:rsidRDefault="00744F2F" w:rsidP="0019023D">
      <w:pPr>
        <w:pStyle w:val="MMKurzprofilberschrift"/>
        <w:rPr>
          <w:lang w:val="en-GB"/>
        </w:rPr>
      </w:pPr>
      <w:r w:rsidRPr="00C85271">
        <w:rPr>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9" w:history="1">
        <w:r w:rsidRPr="00C85271">
          <w:rPr>
            <w:rStyle w:val="Hyperlink"/>
            <w:rFonts w:cs="Times New Roman"/>
            <w:szCs w:val="24"/>
            <w:lang w:val="en-GB"/>
          </w:rPr>
          <w:t>presse@leoni.com</w:t>
        </w:r>
      </w:hyperlink>
    </w:p>
    <w:sectPr w:rsidR="00744F2F" w:rsidRPr="00744F2F"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FC3969">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FC3969">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82509E">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6800DA">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FC3969">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2744E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FC3969">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FC3969" w:rsidP="00F65C50">
    <w:pPr>
      <w:pStyle w:val="Kopfzeile"/>
      <w:tabs>
        <w:tab w:val="clear" w:pos="9072"/>
        <w:tab w:val="right" w:pos="9639"/>
      </w:tabs>
      <w:rPr>
        <w:rFonts w:ascii="Verdana" w:hAnsi="Verdana"/>
        <w:sz w:val="20"/>
      </w:rPr>
    </w:pPr>
  </w:p>
  <w:p w:rsidR="008F37D5" w:rsidRDefault="00FC3969" w:rsidP="00F65C50">
    <w:pPr>
      <w:pStyle w:val="Kopfzeile"/>
      <w:tabs>
        <w:tab w:val="clear" w:pos="9072"/>
        <w:tab w:val="right" w:pos="9639"/>
      </w:tabs>
      <w:rPr>
        <w:rFonts w:ascii="Verdana" w:hAnsi="Verdana"/>
        <w:sz w:val="20"/>
      </w:rPr>
    </w:pPr>
  </w:p>
  <w:p w:rsidR="008F37D5" w:rsidRPr="00F17738" w:rsidRDefault="00FC3969"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FC3969"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FC3969">
    <w:pPr>
      <w:pStyle w:val="Kopfzeile"/>
      <w:tabs>
        <w:tab w:val="clear" w:pos="9072"/>
        <w:tab w:val="right" w:pos="9639"/>
      </w:tabs>
      <w:rPr>
        <w:rFonts w:ascii="Verdana" w:hAnsi="Verdana"/>
        <w:sz w:val="20"/>
      </w:rPr>
    </w:pPr>
  </w:p>
  <w:p w:rsidR="008F37D5" w:rsidRDefault="00FC3969">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p w:rsidR="008F37D5" w:rsidRDefault="00FC396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345"/>
    <w:rsid w:val="000453F9"/>
    <w:rsid w:val="00057D25"/>
    <w:rsid w:val="00083B36"/>
    <w:rsid w:val="000A0822"/>
    <w:rsid w:val="000A1974"/>
    <w:rsid w:val="000A32BC"/>
    <w:rsid w:val="000A7B89"/>
    <w:rsid w:val="000B3BF8"/>
    <w:rsid w:val="000B470A"/>
    <w:rsid w:val="000B5865"/>
    <w:rsid w:val="000C02B1"/>
    <w:rsid w:val="000D1D02"/>
    <w:rsid w:val="000D2329"/>
    <w:rsid w:val="000D65E4"/>
    <w:rsid w:val="000D7D1F"/>
    <w:rsid w:val="000E49EE"/>
    <w:rsid w:val="000E537E"/>
    <w:rsid w:val="000E6946"/>
    <w:rsid w:val="000F2DC6"/>
    <w:rsid w:val="00101CE7"/>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023D"/>
    <w:rsid w:val="001A26F1"/>
    <w:rsid w:val="001B621B"/>
    <w:rsid w:val="001C0CC3"/>
    <w:rsid w:val="001C7543"/>
    <w:rsid w:val="001D1868"/>
    <w:rsid w:val="001D2CDB"/>
    <w:rsid w:val="00205559"/>
    <w:rsid w:val="00207FC6"/>
    <w:rsid w:val="00211CBF"/>
    <w:rsid w:val="00211D05"/>
    <w:rsid w:val="00240866"/>
    <w:rsid w:val="00245C9E"/>
    <w:rsid w:val="00252C9B"/>
    <w:rsid w:val="00255220"/>
    <w:rsid w:val="00255AE2"/>
    <w:rsid w:val="00260A78"/>
    <w:rsid w:val="002630D8"/>
    <w:rsid w:val="00264325"/>
    <w:rsid w:val="00273884"/>
    <w:rsid w:val="002744E1"/>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27D2D"/>
    <w:rsid w:val="00361CF2"/>
    <w:rsid w:val="00362050"/>
    <w:rsid w:val="003627B5"/>
    <w:rsid w:val="00364DCD"/>
    <w:rsid w:val="00382198"/>
    <w:rsid w:val="00397A3F"/>
    <w:rsid w:val="00397AC4"/>
    <w:rsid w:val="003A70AA"/>
    <w:rsid w:val="003C6AAE"/>
    <w:rsid w:val="003D2799"/>
    <w:rsid w:val="003E43B4"/>
    <w:rsid w:val="003E4B96"/>
    <w:rsid w:val="003F74D0"/>
    <w:rsid w:val="00404468"/>
    <w:rsid w:val="00404C26"/>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287E"/>
    <w:rsid w:val="00533F65"/>
    <w:rsid w:val="005346BE"/>
    <w:rsid w:val="00541D3C"/>
    <w:rsid w:val="00543110"/>
    <w:rsid w:val="00543C34"/>
    <w:rsid w:val="005448AB"/>
    <w:rsid w:val="00547D6D"/>
    <w:rsid w:val="005712FF"/>
    <w:rsid w:val="005A1926"/>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00DA"/>
    <w:rsid w:val="006818AF"/>
    <w:rsid w:val="00683EF3"/>
    <w:rsid w:val="006A20D0"/>
    <w:rsid w:val="006A3007"/>
    <w:rsid w:val="006A57E1"/>
    <w:rsid w:val="006A76CA"/>
    <w:rsid w:val="006C41D1"/>
    <w:rsid w:val="006C508C"/>
    <w:rsid w:val="006C5546"/>
    <w:rsid w:val="006C6A78"/>
    <w:rsid w:val="006D0A31"/>
    <w:rsid w:val="006D36F9"/>
    <w:rsid w:val="006E0029"/>
    <w:rsid w:val="006E0AE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87B3E"/>
    <w:rsid w:val="00791E09"/>
    <w:rsid w:val="007B067E"/>
    <w:rsid w:val="007C3759"/>
    <w:rsid w:val="007C6329"/>
    <w:rsid w:val="007D37B7"/>
    <w:rsid w:val="007D7D60"/>
    <w:rsid w:val="007F0597"/>
    <w:rsid w:val="007F3212"/>
    <w:rsid w:val="007F506F"/>
    <w:rsid w:val="008045E1"/>
    <w:rsid w:val="00821BA4"/>
    <w:rsid w:val="0082509E"/>
    <w:rsid w:val="0083522C"/>
    <w:rsid w:val="008446CD"/>
    <w:rsid w:val="0085194D"/>
    <w:rsid w:val="00883645"/>
    <w:rsid w:val="008920B0"/>
    <w:rsid w:val="008B0AD0"/>
    <w:rsid w:val="008B1883"/>
    <w:rsid w:val="008B53D6"/>
    <w:rsid w:val="008D26BA"/>
    <w:rsid w:val="008D540A"/>
    <w:rsid w:val="008D6717"/>
    <w:rsid w:val="008E7760"/>
    <w:rsid w:val="008F124A"/>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A04"/>
    <w:rsid w:val="009A05EE"/>
    <w:rsid w:val="009A1070"/>
    <w:rsid w:val="009B48FF"/>
    <w:rsid w:val="009B564D"/>
    <w:rsid w:val="009C0937"/>
    <w:rsid w:val="009C6B13"/>
    <w:rsid w:val="009E1E09"/>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5C34"/>
    <w:rsid w:val="00B6724A"/>
    <w:rsid w:val="00B67561"/>
    <w:rsid w:val="00B70B1A"/>
    <w:rsid w:val="00B71C6F"/>
    <w:rsid w:val="00B84EE5"/>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251F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67387"/>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7B66"/>
    <w:rsid w:val="00E93051"/>
    <w:rsid w:val="00E956C2"/>
    <w:rsid w:val="00E95777"/>
    <w:rsid w:val="00EC0A0C"/>
    <w:rsid w:val="00EC0E74"/>
    <w:rsid w:val="00EC6520"/>
    <w:rsid w:val="00ED1040"/>
    <w:rsid w:val="00ED47BD"/>
    <w:rsid w:val="00EE3329"/>
    <w:rsid w:val="00EE5BD1"/>
    <w:rsid w:val="00F21EA0"/>
    <w:rsid w:val="00F37865"/>
    <w:rsid w:val="00F46AC0"/>
    <w:rsid w:val="00F474AB"/>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C3969"/>
    <w:rsid w:val="00FC763A"/>
    <w:rsid w:val="00FD5549"/>
    <w:rsid w:val="00FE0AC5"/>
    <w:rsid w:val="00FE66DF"/>
    <w:rsid w:val="00FF2690"/>
    <w:rsid w:val="00FF6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oni.com/en/financial-publications/"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s-sales-and-earnings-up-after-nine-months/" TargetMode="External"/><Relationship Id="rId14" Type="http://schemas.openxmlformats.org/officeDocument/2006/relationships/image" Target="media/image2.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17D1-8688-45CC-B607-1BBA4F0F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Press Release</vt:lpstr>
      <vt:lpstr>Media Relations Medienmitteilungen</vt:lpstr>
    </vt:vector>
  </TitlesOfParts>
  <Manager>Sven Schmidt</Manager>
  <Company>LEONI</Company>
  <LinksUpToDate>false</LinksUpToDate>
  <CharactersWithSpaces>8170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3</cp:revision>
  <cp:lastPrinted>2014-11-07T15:29:00Z</cp:lastPrinted>
  <dcterms:created xsi:type="dcterms:W3CDTF">2014-11-10T10:55:00Z</dcterms:created>
  <dcterms:modified xsi:type="dcterms:W3CDTF">2014-11-10T11:00:00Z</dcterms:modified>
</cp:coreProperties>
</file>