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00277" w14:textId="77777777" w:rsidR="00996B88" w:rsidRPr="0084609D" w:rsidRDefault="00996B88" w:rsidP="00996B88">
      <w:pPr>
        <w:pStyle w:val="MMU1"/>
        <w:rPr>
          <w:bCs w:val="0"/>
          <w:szCs w:val="24"/>
          <w:lang w:val="en-US"/>
        </w:rPr>
      </w:pPr>
      <w:r>
        <w:rPr>
          <w:bCs w:val="0"/>
          <w:szCs w:val="24"/>
          <w:lang w:val="en-GB"/>
        </w:rPr>
        <w:t>Leoni again invests heavily in global expansion</w:t>
      </w:r>
      <w:r w:rsidRPr="0084609D">
        <w:rPr>
          <w:bCs w:val="0"/>
          <w:szCs w:val="24"/>
          <w:lang w:val="en-US"/>
        </w:rPr>
        <w:t xml:space="preserve"> </w:t>
      </w:r>
    </w:p>
    <w:p w14:paraId="30DB62A0" w14:textId="77777777" w:rsidR="00996B88" w:rsidRPr="0084609D" w:rsidRDefault="00996B88" w:rsidP="00996B88">
      <w:pPr>
        <w:pStyle w:val="MMU2"/>
        <w:rPr>
          <w:rFonts w:cs="Times New Roman"/>
          <w:lang w:val="en-US"/>
        </w:rPr>
      </w:pPr>
      <w:r>
        <w:rPr>
          <w:rFonts w:cs="Times New Roman"/>
          <w:lang w:val="en-GB"/>
        </w:rPr>
        <w:t>Sales and earnings growth in fiscal 2014</w:t>
      </w:r>
      <w:r w:rsidRPr="0084609D">
        <w:rPr>
          <w:rFonts w:cs="Times New Roman"/>
          <w:lang w:val="en-US"/>
        </w:rPr>
        <w:t xml:space="preserve"> </w:t>
      </w:r>
    </w:p>
    <w:p w14:paraId="6B637455" w14:textId="77777777" w:rsidR="00996B88" w:rsidRPr="0084609D" w:rsidRDefault="00996B88" w:rsidP="00996B88">
      <w:pPr>
        <w:pStyle w:val="MMVorspann"/>
        <w:rPr>
          <w:rFonts w:cs="Times New Roman"/>
          <w:bCs w:val="0"/>
          <w:szCs w:val="24"/>
          <w:lang w:val="en-US"/>
        </w:rPr>
      </w:pPr>
      <w:r>
        <w:rPr>
          <w:rFonts w:cs="Times New Roman"/>
          <w:bCs w:val="0"/>
          <w:szCs w:val="24"/>
          <w:lang w:val="en-GB"/>
        </w:rPr>
        <w:t>Nuremberg, 17 March 2015 – Leoni, the leading European provider of cables and cable systems to the automotive sector and other industries, raised both sales and profit in its 2014 financial year.</w:t>
      </w:r>
      <w:r w:rsidRPr="0084609D">
        <w:rPr>
          <w:rFonts w:cs="Times New Roman"/>
          <w:bCs w:val="0"/>
          <w:szCs w:val="24"/>
          <w:lang w:val="en-US"/>
        </w:rPr>
        <w:t xml:space="preserve"> </w:t>
      </w:r>
      <w:r>
        <w:rPr>
          <w:rFonts w:cs="Times New Roman"/>
          <w:bCs w:val="0"/>
          <w:szCs w:val="24"/>
          <w:lang w:val="en-GB"/>
        </w:rPr>
        <w:t>Based on unabatedly heavy demand from the automotive industry and an economic recovery in key industrial sectors, the Group’s sales rose in line with budget by nearly 5 percent to EUR 4.1 billion (2013: EUR 3.92 billion),</w:t>
      </w:r>
      <w:r w:rsidRPr="0084609D">
        <w:rPr>
          <w:rFonts w:cs="Times New Roman"/>
          <w:bCs w:val="0"/>
          <w:szCs w:val="24"/>
          <w:lang w:val="en-US"/>
        </w:rPr>
        <w:t xml:space="preserve"> </w:t>
      </w:r>
      <w:r>
        <w:rPr>
          <w:rFonts w:cs="Times New Roman"/>
          <w:bCs w:val="0"/>
          <w:szCs w:val="24"/>
          <w:lang w:val="en-GB"/>
        </w:rPr>
        <w:t>thus hitting a new high.</w:t>
      </w:r>
      <w:r w:rsidRPr="0084609D">
        <w:rPr>
          <w:rFonts w:cs="Times New Roman"/>
          <w:bCs w:val="0"/>
          <w:szCs w:val="24"/>
          <w:lang w:val="en-US"/>
        </w:rPr>
        <w:t xml:space="preserve"> </w:t>
      </w:r>
      <w:r>
        <w:rPr>
          <w:rFonts w:cs="Times New Roman"/>
          <w:bCs w:val="0"/>
          <w:szCs w:val="24"/>
          <w:lang w:val="en-GB"/>
        </w:rPr>
        <w:t>Earnings before interest and taxes (EBIT) increased by just 12 percent from EUR 163.1 million in the previous year to now EUR 182.5 million because of substantial exceptional charges. Consolidated net income rose to EUR 115.1 million (2013: EUR 105.9 million).</w:t>
      </w:r>
      <w:r w:rsidRPr="0084609D">
        <w:rPr>
          <w:rFonts w:cs="Times New Roman"/>
          <w:bCs w:val="0"/>
          <w:szCs w:val="24"/>
          <w:lang w:val="en-US"/>
        </w:rPr>
        <w:t xml:space="preserve"> </w:t>
      </w:r>
      <w:r>
        <w:rPr>
          <w:rFonts w:cs="Times New Roman"/>
          <w:bCs w:val="0"/>
          <w:szCs w:val="24"/>
          <w:lang w:val="en-GB"/>
        </w:rPr>
        <w:t>The Company intends to pay out a dividend of EUR 1.20 (previous year: EUR 1.00) per share.</w:t>
      </w:r>
    </w:p>
    <w:p w14:paraId="6172C368" w14:textId="77777777" w:rsidR="00996B88" w:rsidRPr="0084609D" w:rsidRDefault="00996B88" w:rsidP="00996B88">
      <w:pPr>
        <w:pStyle w:val="MMFlietext"/>
        <w:rPr>
          <w:rFonts w:cs="Times New Roman"/>
          <w:b/>
          <w:szCs w:val="24"/>
          <w:lang w:val="en-US"/>
        </w:rPr>
      </w:pPr>
      <w:r>
        <w:rPr>
          <w:rFonts w:cs="Times New Roman"/>
          <w:szCs w:val="24"/>
          <w:lang w:val="en-GB"/>
        </w:rPr>
        <w:t>“Leoni again</w:t>
      </w:r>
      <w:r w:rsidR="008E1AB7">
        <w:rPr>
          <w:rFonts w:cs="Times New Roman"/>
          <w:szCs w:val="24"/>
          <w:lang w:val="en-GB"/>
        </w:rPr>
        <w:t xml:space="preserve"> posted a sales record in its 2</w:t>
      </w:r>
      <w:r>
        <w:rPr>
          <w:rFonts w:cs="Times New Roman"/>
          <w:szCs w:val="24"/>
          <w:lang w:val="en-GB"/>
        </w:rPr>
        <w:t>0</w:t>
      </w:r>
      <w:r w:rsidR="008E1AB7">
        <w:rPr>
          <w:rFonts w:cs="Times New Roman"/>
          <w:szCs w:val="24"/>
          <w:lang w:val="en-GB"/>
        </w:rPr>
        <w:t>1</w:t>
      </w:r>
      <w:bookmarkStart w:id="0" w:name="_GoBack"/>
      <w:bookmarkEnd w:id="0"/>
      <w:r>
        <w:rPr>
          <w:rFonts w:cs="Times New Roman"/>
          <w:szCs w:val="24"/>
          <w:lang w:val="en-GB"/>
        </w:rPr>
        <w:t xml:space="preserve">4 financial year and in so doing made gains especially outside Europe," said Dr Klaus Probst, </w:t>
      </w:r>
      <w:r w:rsidR="003941E2" w:rsidRPr="003941E2">
        <w:rPr>
          <w:rFonts w:cs="Times New Roman"/>
          <w:szCs w:val="24"/>
          <w:lang w:val="en-GB"/>
        </w:rPr>
        <w:t xml:space="preserve">CEO &amp; </w:t>
      </w:r>
      <w:r w:rsidRPr="003941E2">
        <w:rPr>
          <w:rFonts w:cs="Times New Roman"/>
          <w:szCs w:val="24"/>
          <w:lang w:val="en-GB"/>
        </w:rPr>
        <w:t>President of Leoni AG at the group of companies' balance sheet press conference.</w:t>
      </w:r>
      <w:r w:rsidRPr="003941E2">
        <w:rPr>
          <w:rFonts w:cs="Times New Roman"/>
          <w:szCs w:val="24"/>
          <w:lang w:val="en-US"/>
        </w:rPr>
        <w:t xml:space="preserve"> </w:t>
      </w:r>
      <w:r w:rsidRPr="003941E2">
        <w:rPr>
          <w:rFonts w:cs="Times New Roman"/>
          <w:szCs w:val="24"/>
          <w:lang w:val="en-GB"/>
        </w:rPr>
        <w:t>“On the other hand, we did not improve our operating profit to the extent originally planned because of exceptional charges.”</w:t>
      </w:r>
      <w:r w:rsidRPr="0084609D">
        <w:rPr>
          <w:rFonts w:cs="Times New Roman"/>
          <w:szCs w:val="24"/>
          <w:lang w:val="en-US"/>
        </w:rPr>
        <w:t xml:space="preserve"> </w:t>
      </w:r>
    </w:p>
    <w:p w14:paraId="0ABF6798" w14:textId="77777777" w:rsidR="00996B88" w:rsidRPr="0084609D" w:rsidRDefault="00996B88" w:rsidP="00996B88">
      <w:pPr>
        <w:pStyle w:val="MMZwischenberschrift"/>
        <w:rPr>
          <w:rFonts w:cs="Times New Roman"/>
          <w:szCs w:val="24"/>
          <w:lang w:val="en-US"/>
        </w:rPr>
      </w:pPr>
      <w:r>
        <w:rPr>
          <w:rFonts w:cs="Times New Roman"/>
          <w:szCs w:val="24"/>
          <w:lang w:val="en-GB"/>
        </w:rPr>
        <w:t>WSD:</w:t>
      </w:r>
      <w:r w:rsidRPr="0084609D">
        <w:rPr>
          <w:rFonts w:cs="Times New Roman"/>
          <w:szCs w:val="24"/>
          <w:lang w:val="en-US"/>
        </w:rPr>
        <w:t xml:space="preserve"> </w:t>
      </w:r>
      <w:r>
        <w:rPr>
          <w:rFonts w:cs="Times New Roman"/>
          <w:szCs w:val="24"/>
          <w:lang w:val="en-GB"/>
        </w:rPr>
        <w:t>position in the Chinese market further enhanced</w:t>
      </w:r>
    </w:p>
    <w:p w14:paraId="6BF5DA87" w14:textId="77777777" w:rsidR="00996B88" w:rsidRPr="0084609D" w:rsidRDefault="00996B88" w:rsidP="00996B88">
      <w:pPr>
        <w:pStyle w:val="MMFlietext"/>
        <w:rPr>
          <w:rFonts w:cs="Times New Roman"/>
          <w:szCs w:val="24"/>
          <w:lang w:val="en-US"/>
        </w:rPr>
      </w:pPr>
      <w:r>
        <w:rPr>
          <w:rFonts w:cs="Times New Roman"/>
          <w:szCs w:val="24"/>
          <w:lang w:val="en-GB"/>
        </w:rPr>
        <w:t>The Wiring Systems Division increased its sales to EUR 2,399.6 million during the year under report (2013: EUR 2,321.0 million).</w:t>
      </w:r>
      <w:r w:rsidRPr="0084609D">
        <w:rPr>
          <w:rFonts w:cs="Times New Roman"/>
          <w:szCs w:val="24"/>
          <w:lang w:val="en-US"/>
        </w:rPr>
        <w:t xml:space="preserve"> </w:t>
      </w:r>
      <w:r>
        <w:rPr>
          <w:rFonts w:cs="Times New Roman"/>
          <w:szCs w:val="24"/>
          <w:lang w:val="en-GB"/>
        </w:rPr>
        <w:t>Business with the export-heavyweight German car industry was once more a mainstay.</w:t>
      </w:r>
      <w:r w:rsidRPr="0084609D">
        <w:rPr>
          <w:rFonts w:cs="Times New Roman"/>
          <w:szCs w:val="24"/>
          <w:lang w:val="en-US"/>
        </w:rPr>
        <w:t xml:space="preserve"> </w:t>
      </w:r>
      <w:r>
        <w:rPr>
          <w:rFonts w:cs="Times New Roman"/>
          <w:szCs w:val="24"/>
          <w:lang w:val="en-GB"/>
        </w:rPr>
        <w:t xml:space="preserve">There was also increased demand from the international commercial vehicle industry; with Scania as a new customer, Leoni now has the leading European truck manufacturers among its customer base. Performance was also encouraging in Business Unit Electromobility, which, over the next three years, will for the first time be supplying high-voltage products for about a dozen new vehicles powered by alternative drive systems. </w:t>
      </w:r>
    </w:p>
    <w:p w14:paraId="51CD629B" w14:textId="77777777" w:rsidR="00996B88" w:rsidRPr="0084609D" w:rsidRDefault="00996B88" w:rsidP="00996B88">
      <w:pPr>
        <w:pStyle w:val="MMFlietext"/>
        <w:rPr>
          <w:rFonts w:cs="Times New Roman"/>
          <w:szCs w:val="24"/>
          <w:lang w:val="en-US"/>
        </w:rPr>
      </w:pPr>
      <w:r>
        <w:rPr>
          <w:rFonts w:cs="Times New Roman"/>
          <w:szCs w:val="24"/>
          <w:lang w:val="en-GB"/>
        </w:rPr>
        <w:lastRenderedPageBreak/>
        <w:t>The division made further progress in China in 2014.</w:t>
      </w:r>
      <w:r w:rsidRPr="0084609D">
        <w:rPr>
          <w:rFonts w:cs="Times New Roman"/>
          <w:szCs w:val="24"/>
          <w:lang w:val="en-US"/>
        </w:rPr>
        <w:t xml:space="preserve"> </w:t>
      </w:r>
      <w:r>
        <w:rPr>
          <w:rFonts w:cs="Times New Roman"/>
          <w:szCs w:val="24"/>
          <w:lang w:val="en-GB"/>
        </w:rPr>
        <w:t>A newly built plant in the country’s northeast will supply a German premium carmaker with wiring systems from the end of this year.</w:t>
      </w:r>
      <w:r w:rsidRPr="0084609D">
        <w:rPr>
          <w:rFonts w:cs="Times New Roman"/>
          <w:szCs w:val="24"/>
          <w:lang w:val="en-US"/>
        </w:rPr>
        <w:t xml:space="preserve"> </w:t>
      </w:r>
      <w:r>
        <w:rPr>
          <w:rFonts w:cs="Times New Roman"/>
          <w:szCs w:val="24"/>
          <w:lang w:val="en-GB"/>
        </w:rPr>
        <w:t>The division also succeeded in winning initial orders from the two major Asian vehicle manufacturers Hyundai and Geely and thereby in enhancing its competitive position in the world’s largest car market.</w:t>
      </w:r>
      <w:r w:rsidRPr="0084609D">
        <w:rPr>
          <w:rFonts w:cs="Times New Roman"/>
          <w:szCs w:val="24"/>
          <w:lang w:val="en-US"/>
        </w:rPr>
        <w:t xml:space="preserve"> </w:t>
      </w:r>
    </w:p>
    <w:p w14:paraId="4F4CADFF" w14:textId="77777777" w:rsidR="00996B88" w:rsidRPr="0084609D" w:rsidRDefault="00996B88" w:rsidP="00996B88">
      <w:pPr>
        <w:pStyle w:val="MMFlietext"/>
        <w:rPr>
          <w:rFonts w:cs="Times New Roman"/>
          <w:szCs w:val="24"/>
          <w:lang w:val="en-US"/>
        </w:rPr>
      </w:pPr>
      <w:r>
        <w:rPr>
          <w:rFonts w:cs="Times New Roman"/>
          <w:szCs w:val="24"/>
          <w:lang w:val="en-GB"/>
        </w:rPr>
        <w:t>In the Americas, too, capacity was enlarged significantly during the year under report.</w:t>
      </w:r>
      <w:r w:rsidRPr="0084609D">
        <w:rPr>
          <w:rFonts w:cs="Times New Roman"/>
          <w:szCs w:val="24"/>
          <w:lang w:val="en-US"/>
        </w:rPr>
        <w:t xml:space="preserve"> </w:t>
      </w:r>
      <w:r>
        <w:rPr>
          <w:rFonts w:cs="Times New Roman"/>
          <w:szCs w:val="24"/>
          <w:lang w:val="en-GB"/>
        </w:rPr>
        <w:t>In this region, however, the start-up of a major project resulted in unexpectedly heavy personnel expenses, high reject rates as well as substantial airfreight costs.</w:t>
      </w:r>
      <w:r w:rsidRPr="0084609D">
        <w:rPr>
          <w:rFonts w:cs="Times New Roman"/>
          <w:szCs w:val="24"/>
          <w:lang w:val="en-US"/>
        </w:rPr>
        <w:t xml:space="preserve"> </w:t>
      </w:r>
      <w:r>
        <w:rPr>
          <w:rFonts w:cs="Times New Roman"/>
          <w:szCs w:val="24"/>
          <w:lang w:val="en-GB"/>
        </w:rPr>
        <w:t>The drain on earnings in the second and third quarters therefore totalled about EUR 15 million.</w:t>
      </w:r>
      <w:r w:rsidRPr="0084609D">
        <w:rPr>
          <w:rFonts w:cs="Times New Roman"/>
          <w:szCs w:val="24"/>
          <w:lang w:val="en-US"/>
        </w:rPr>
        <w:t xml:space="preserve"> </w:t>
      </w:r>
      <w:r>
        <w:rPr>
          <w:rFonts w:cs="Times New Roman"/>
          <w:szCs w:val="24"/>
          <w:lang w:val="en-GB"/>
        </w:rPr>
        <w:t>Performance in the fourth quarter was back on track in this respect.</w:t>
      </w:r>
      <w:r w:rsidRPr="0084609D">
        <w:rPr>
          <w:rFonts w:cs="Times New Roman"/>
          <w:szCs w:val="24"/>
          <w:lang w:val="en-US"/>
        </w:rPr>
        <w:t xml:space="preserve"> </w:t>
      </w:r>
      <w:r>
        <w:rPr>
          <w:rFonts w:cs="Times New Roman"/>
          <w:szCs w:val="24"/>
          <w:lang w:val="en-GB"/>
        </w:rPr>
        <w:t>Furthermore, the switchover to the new Euro 6 standard in the commercial vehicle industry incurred exceptional costs because of the increased complexity of the cable harnesses used.</w:t>
      </w:r>
      <w:r w:rsidRPr="0084609D">
        <w:rPr>
          <w:rFonts w:cs="Times New Roman"/>
          <w:szCs w:val="24"/>
          <w:lang w:val="en-US"/>
        </w:rPr>
        <w:t xml:space="preserve"> </w:t>
      </w:r>
    </w:p>
    <w:p w14:paraId="4BBBF9BC" w14:textId="77777777" w:rsidR="00996B88" w:rsidRPr="0084609D" w:rsidRDefault="00996B88" w:rsidP="00996B88">
      <w:pPr>
        <w:pStyle w:val="MMFlietext"/>
        <w:rPr>
          <w:rFonts w:cs="Times New Roman"/>
          <w:szCs w:val="24"/>
          <w:lang w:val="en-US"/>
        </w:rPr>
      </w:pPr>
      <w:r>
        <w:rPr>
          <w:rFonts w:cs="Times New Roman"/>
          <w:szCs w:val="24"/>
          <w:lang w:val="en-GB"/>
        </w:rPr>
        <w:t>In Europe, the slump in the rouble and weaker business in Russia exerted an adverse effect on profits.</w:t>
      </w:r>
      <w:r w:rsidRPr="0084609D">
        <w:rPr>
          <w:rFonts w:cs="Times New Roman"/>
          <w:szCs w:val="24"/>
          <w:lang w:val="en-US"/>
        </w:rPr>
        <w:t xml:space="preserve"> </w:t>
      </w:r>
      <w:r>
        <w:rPr>
          <w:rFonts w:cs="Times New Roman"/>
          <w:szCs w:val="24"/>
          <w:lang w:val="en-GB"/>
        </w:rPr>
        <w:t>The division’s EBIT consequently dipped by about 10 percent to EUR 104.6 million (2013: EUR 116.1 million).</w:t>
      </w:r>
      <w:r w:rsidRPr="0084609D">
        <w:rPr>
          <w:rFonts w:cs="Times New Roman"/>
          <w:szCs w:val="24"/>
          <w:lang w:val="en-US"/>
        </w:rPr>
        <w:t xml:space="preserve"> </w:t>
      </w:r>
    </w:p>
    <w:p w14:paraId="056882EF" w14:textId="77777777" w:rsidR="00996B88" w:rsidRPr="0084609D" w:rsidRDefault="00996B88" w:rsidP="00996B88">
      <w:pPr>
        <w:pStyle w:val="MMZwischenberschrift"/>
        <w:rPr>
          <w:rFonts w:cs="Times New Roman"/>
          <w:szCs w:val="24"/>
          <w:lang w:val="en-US"/>
        </w:rPr>
      </w:pPr>
      <w:r>
        <w:rPr>
          <w:rFonts w:cs="Times New Roman"/>
          <w:szCs w:val="24"/>
          <w:lang w:val="en-GB"/>
        </w:rPr>
        <w:t>WCS:</w:t>
      </w:r>
      <w:r w:rsidRPr="0084609D">
        <w:rPr>
          <w:rFonts w:cs="Times New Roman"/>
          <w:szCs w:val="24"/>
          <w:lang w:val="en-US"/>
        </w:rPr>
        <w:t xml:space="preserve"> </w:t>
      </w:r>
      <w:r>
        <w:rPr>
          <w:rFonts w:cs="Times New Roman"/>
          <w:szCs w:val="24"/>
          <w:lang w:val="en-GB"/>
        </w:rPr>
        <w:t>performance programme launched</w:t>
      </w:r>
      <w:r w:rsidRPr="0084609D">
        <w:rPr>
          <w:rFonts w:cs="Times New Roman"/>
          <w:szCs w:val="24"/>
          <w:lang w:val="en-US"/>
        </w:rPr>
        <w:t xml:space="preserve">   </w:t>
      </w:r>
    </w:p>
    <w:p w14:paraId="1573B1F1" w14:textId="77777777" w:rsidR="00996B88" w:rsidRPr="0084609D" w:rsidRDefault="00996B88" w:rsidP="00996B88">
      <w:pPr>
        <w:pStyle w:val="MMFlietext"/>
        <w:rPr>
          <w:rFonts w:cs="Times New Roman"/>
          <w:szCs w:val="24"/>
          <w:lang w:val="en-US"/>
        </w:rPr>
      </w:pPr>
      <w:r>
        <w:rPr>
          <w:rFonts w:cs="Times New Roman"/>
          <w:szCs w:val="24"/>
          <w:lang w:val="en-GB"/>
        </w:rPr>
        <w:t>The Wire &amp; Cable Solutions (WCS) Division benefited during the year under report from continued, strong global demand for automotive cables as well as the recovery in most of the industrial customer sectors.</w:t>
      </w:r>
      <w:r w:rsidRPr="0084609D">
        <w:rPr>
          <w:rFonts w:cs="Times New Roman"/>
          <w:szCs w:val="24"/>
          <w:lang w:val="en-US"/>
        </w:rPr>
        <w:t xml:space="preserve"> </w:t>
      </w:r>
      <w:r>
        <w:rPr>
          <w:rFonts w:cs="Times New Roman"/>
          <w:szCs w:val="24"/>
          <w:lang w:val="en-GB"/>
        </w:rPr>
        <w:t>The division’s external sales rose by nearly 7 percent to EUR 1,703.8 million (2013: EUR 1,596.9 million), with the most significant gain made in Asia.</w:t>
      </w:r>
      <w:r w:rsidRPr="0084609D">
        <w:rPr>
          <w:rFonts w:cs="Times New Roman"/>
          <w:szCs w:val="24"/>
          <w:lang w:val="en-US"/>
        </w:rPr>
        <w:t xml:space="preserve"> </w:t>
      </w:r>
    </w:p>
    <w:p w14:paraId="127E16FD" w14:textId="77777777" w:rsidR="00996B88" w:rsidRPr="0084609D" w:rsidRDefault="00996B88" w:rsidP="00996B88">
      <w:pPr>
        <w:pStyle w:val="MMFlietext"/>
        <w:rPr>
          <w:rFonts w:cs="Times New Roman"/>
          <w:szCs w:val="24"/>
          <w:lang w:val="en-US"/>
        </w:rPr>
      </w:pPr>
      <w:r>
        <w:rPr>
          <w:rFonts w:cs="Times New Roman"/>
          <w:szCs w:val="24"/>
          <w:lang w:val="en-GB"/>
        </w:rPr>
        <w:t>The division laid the foundations for stepped-up growth outside Europe by building additional production facilities as well as extending existing capacity in Mexico, China and India.</w:t>
      </w:r>
      <w:r w:rsidRPr="0084609D">
        <w:rPr>
          <w:rFonts w:cs="Times New Roman"/>
          <w:szCs w:val="24"/>
          <w:lang w:val="en-US"/>
        </w:rPr>
        <w:t xml:space="preserve"> </w:t>
      </w:r>
      <w:r>
        <w:rPr>
          <w:rFonts w:cs="Times New Roman"/>
          <w:szCs w:val="24"/>
          <w:lang w:val="en-GB"/>
        </w:rPr>
        <w:t>Regional structures were established in Asia and the Americas during the year under report to underpin the ongoing globalisation.</w:t>
      </w:r>
      <w:r w:rsidRPr="0084609D">
        <w:rPr>
          <w:rFonts w:cs="Times New Roman"/>
          <w:szCs w:val="24"/>
          <w:lang w:val="en-US"/>
        </w:rPr>
        <w:t xml:space="preserve"> </w:t>
      </w:r>
      <w:r>
        <w:rPr>
          <w:rFonts w:cs="Times New Roman"/>
          <w:szCs w:val="24"/>
          <w:lang w:val="en-GB"/>
        </w:rPr>
        <w:t>Commercial and technical-operational functions of the division were pooled into crossover departments to increasingly realise synergies within the framework of its organisational development.</w:t>
      </w:r>
      <w:r w:rsidRPr="0084609D">
        <w:rPr>
          <w:rFonts w:cs="Times New Roman"/>
          <w:szCs w:val="24"/>
          <w:lang w:val="en-US"/>
        </w:rPr>
        <w:t xml:space="preserve"> </w:t>
      </w:r>
      <w:r>
        <w:rPr>
          <w:rFonts w:cs="Times New Roman"/>
          <w:szCs w:val="24"/>
          <w:lang w:val="en-GB"/>
        </w:rPr>
        <w:t xml:space="preserve">The recently launched WCS ON Excellence </w:t>
      </w:r>
      <w:r>
        <w:rPr>
          <w:rFonts w:cs="Times New Roman"/>
          <w:szCs w:val="24"/>
          <w:lang w:val="en-GB"/>
        </w:rPr>
        <w:lastRenderedPageBreak/>
        <w:t>growth programme will furthermore contribute to raising the whole division’s efficiency over the medium term.</w:t>
      </w:r>
    </w:p>
    <w:p w14:paraId="0A449060" w14:textId="77777777" w:rsidR="00996B88" w:rsidRPr="0084609D" w:rsidRDefault="00996B88" w:rsidP="00996B88">
      <w:pPr>
        <w:pStyle w:val="MMFlietext"/>
        <w:rPr>
          <w:rFonts w:cs="Times New Roman"/>
          <w:szCs w:val="24"/>
          <w:lang w:val="en-US"/>
        </w:rPr>
      </w:pPr>
      <w:r>
        <w:rPr>
          <w:rFonts w:cs="Times New Roman"/>
          <w:szCs w:val="24"/>
          <w:lang w:val="en-GB"/>
        </w:rPr>
        <w:t>During the year under report, the division’s EBIT already rose by nearly two thirds to EUR 78.1 million (2013: EUR 47.1 million).</w:t>
      </w:r>
      <w:r w:rsidRPr="0084609D">
        <w:rPr>
          <w:rFonts w:cs="Times New Roman"/>
          <w:szCs w:val="24"/>
          <w:lang w:val="en-US"/>
        </w:rPr>
        <w:t xml:space="preserve"> </w:t>
      </w:r>
      <w:r>
        <w:rPr>
          <w:rFonts w:cs="Times New Roman"/>
          <w:szCs w:val="24"/>
          <w:lang w:val="en-GB"/>
        </w:rPr>
        <w:t>Alongside the improved capacity utilisation, the benefits of the previous year’s restructuring also exerted positive effect.</w:t>
      </w:r>
      <w:r w:rsidRPr="0084609D">
        <w:rPr>
          <w:rFonts w:cs="Times New Roman"/>
          <w:szCs w:val="24"/>
          <w:lang w:val="en-US"/>
        </w:rPr>
        <w:t xml:space="preserve"> </w:t>
      </w:r>
    </w:p>
    <w:p w14:paraId="036369A7" w14:textId="77777777" w:rsidR="00996B88" w:rsidRPr="0084609D" w:rsidRDefault="00996B88" w:rsidP="00996B88">
      <w:pPr>
        <w:pStyle w:val="MMZwischenberschrift"/>
        <w:rPr>
          <w:rFonts w:cs="Times New Roman"/>
          <w:szCs w:val="24"/>
          <w:lang w:val="en-US"/>
        </w:rPr>
      </w:pPr>
      <w:r>
        <w:rPr>
          <w:rFonts w:cs="Times New Roman"/>
          <w:szCs w:val="24"/>
          <w:lang w:val="en-GB"/>
        </w:rPr>
        <w:t>Capex:</w:t>
      </w:r>
      <w:r w:rsidRPr="0084609D">
        <w:rPr>
          <w:rFonts w:cs="Times New Roman"/>
          <w:szCs w:val="24"/>
          <w:lang w:val="en-US"/>
        </w:rPr>
        <w:t xml:space="preserve"> </w:t>
      </w:r>
      <w:r>
        <w:rPr>
          <w:rFonts w:cs="Times New Roman"/>
          <w:szCs w:val="24"/>
          <w:lang w:val="en-GB"/>
        </w:rPr>
        <w:t>record amount for further growth</w:t>
      </w:r>
      <w:r w:rsidRPr="0084609D">
        <w:rPr>
          <w:rFonts w:cs="Times New Roman"/>
          <w:szCs w:val="24"/>
          <w:lang w:val="en-US"/>
        </w:rPr>
        <w:t xml:space="preserve"> </w:t>
      </w:r>
    </w:p>
    <w:p w14:paraId="17D8D6AE" w14:textId="77777777" w:rsidR="00996B88" w:rsidRPr="0084609D" w:rsidRDefault="00996B88" w:rsidP="00996B88">
      <w:pPr>
        <w:pStyle w:val="MMFlietext"/>
        <w:rPr>
          <w:rFonts w:cs="Times New Roman"/>
          <w:szCs w:val="24"/>
          <w:lang w:val="en-US"/>
        </w:rPr>
      </w:pPr>
      <w:r>
        <w:rPr>
          <w:rFonts w:cs="Times New Roman"/>
          <w:szCs w:val="24"/>
          <w:lang w:val="en-GB"/>
        </w:rPr>
        <w:t>In the 2014 financial year, Leoni again invested heavily in property, plant and equipment as well as intangible assets in the record amount of EUR 215.8 million (2013: EUR 168.4 million).</w:t>
      </w:r>
      <w:r w:rsidRPr="0084609D">
        <w:rPr>
          <w:rFonts w:cs="Times New Roman"/>
          <w:szCs w:val="24"/>
          <w:lang w:val="en-US"/>
        </w:rPr>
        <w:t xml:space="preserve"> </w:t>
      </w:r>
      <w:r>
        <w:rPr>
          <w:rFonts w:cs="Times New Roman"/>
          <w:szCs w:val="24"/>
          <w:lang w:val="en-GB"/>
        </w:rPr>
        <w:t>The Company expanded its capacity in all three of its world regions.</w:t>
      </w:r>
      <w:r w:rsidRPr="0084609D">
        <w:rPr>
          <w:rFonts w:cs="Times New Roman"/>
          <w:szCs w:val="24"/>
          <w:lang w:val="en-US"/>
        </w:rPr>
        <w:t xml:space="preserve"> </w:t>
      </w:r>
      <w:r>
        <w:rPr>
          <w:rFonts w:cs="Times New Roman"/>
          <w:szCs w:val="24"/>
          <w:lang w:val="en-GB"/>
        </w:rPr>
        <w:t>The EMEA (Europe, Middle East and Africa) region accounted for nearly two thirds and Eastern Europe for half or more of that.</w:t>
      </w:r>
      <w:r w:rsidRPr="0084609D">
        <w:rPr>
          <w:rFonts w:cs="Times New Roman"/>
          <w:szCs w:val="24"/>
          <w:lang w:val="en-US"/>
        </w:rPr>
        <w:t xml:space="preserve"> </w:t>
      </w:r>
      <w:r>
        <w:rPr>
          <w:rFonts w:cs="Times New Roman"/>
          <w:szCs w:val="24"/>
          <w:lang w:val="en-GB"/>
        </w:rPr>
        <w:t>The biggest capital expenditure increase in percentage terms was in Asia – by more than 50 percent.</w:t>
      </w:r>
      <w:r w:rsidRPr="0084609D">
        <w:rPr>
          <w:rFonts w:cs="Times New Roman"/>
          <w:szCs w:val="24"/>
          <w:lang w:val="en-US"/>
        </w:rPr>
        <w:t xml:space="preserve"> </w:t>
      </w:r>
      <w:r>
        <w:rPr>
          <w:rFonts w:cs="Times New Roman"/>
          <w:szCs w:val="24"/>
          <w:lang w:val="en-GB"/>
        </w:rPr>
        <w:t>With a 36 percent year-on-year increase, a disproportionately large amount was also spent in the Americas on expanding production plant.</w:t>
      </w:r>
      <w:r w:rsidRPr="0084609D">
        <w:rPr>
          <w:rFonts w:cs="Times New Roman"/>
          <w:szCs w:val="24"/>
          <w:lang w:val="en-US"/>
        </w:rPr>
        <w:t xml:space="preserve"> </w:t>
      </w:r>
      <w:r>
        <w:rPr>
          <w:rFonts w:cs="Times New Roman"/>
          <w:szCs w:val="24"/>
          <w:lang w:val="en-GB"/>
        </w:rPr>
        <w:t>Leoni generated cash from operating activities of EUR 180.8 million (2013: EUR 187.4 million).</w:t>
      </w:r>
      <w:r w:rsidRPr="0084609D">
        <w:rPr>
          <w:rFonts w:cs="Times New Roman"/>
          <w:szCs w:val="24"/>
          <w:lang w:val="en-US"/>
        </w:rPr>
        <w:t xml:space="preserve"> </w:t>
      </w:r>
      <w:r>
        <w:rPr>
          <w:rFonts w:cs="Times New Roman"/>
          <w:szCs w:val="24"/>
          <w:lang w:val="en-GB"/>
        </w:rPr>
        <w:t>Due to the spending on capital investment and the larger amount of funds tied up in working capital because of increased inventories, free cash flow dipped to a negative figure of EUR 37.9 million (2013: positive EUR 36.7 million).</w:t>
      </w:r>
    </w:p>
    <w:p w14:paraId="74B08EB9" w14:textId="77777777" w:rsidR="00996B88" w:rsidRPr="0084609D" w:rsidRDefault="00996B88" w:rsidP="00996B88">
      <w:pPr>
        <w:pStyle w:val="MMZwischenberschrift"/>
        <w:rPr>
          <w:rFonts w:cs="Times New Roman"/>
          <w:szCs w:val="24"/>
          <w:lang w:val="en-US"/>
        </w:rPr>
      </w:pPr>
      <w:r>
        <w:rPr>
          <w:rFonts w:cs="Times New Roman"/>
          <w:szCs w:val="24"/>
          <w:lang w:val="en-GB"/>
        </w:rPr>
        <w:t>Financial situation:</w:t>
      </w:r>
      <w:r w:rsidRPr="0084609D">
        <w:rPr>
          <w:rFonts w:cs="Times New Roman"/>
          <w:szCs w:val="24"/>
          <w:lang w:val="en-US"/>
        </w:rPr>
        <w:t xml:space="preserve"> </w:t>
      </w:r>
      <w:r>
        <w:rPr>
          <w:rFonts w:cs="Times New Roman"/>
          <w:szCs w:val="24"/>
          <w:lang w:val="en-GB"/>
        </w:rPr>
        <w:t>equity ratio still at a high level</w:t>
      </w:r>
    </w:p>
    <w:p w14:paraId="34605448" w14:textId="77777777" w:rsidR="00996B88" w:rsidRPr="0084609D" w:rsidRDefault="00996B88" w:rsidP="00996B88">
      <w:pPr>
        <w:pStyle w:val="MMFlietext"/>
        <w:rPr>
          <w:rFonts w:cs="Times New Roman"/>
          <w:szCs w:val="24"/>
          <w:lang w:val="en-US"/>
        </w:rPr>
      </w:pPr>
      <w:r>
        <w:rPr>
          <w:rFonts w:cs="Times New Roman"/>
          <w:szCs w:val="24"/>
          <w:lang w:val="en-GB"/>
        </w:rPr>
        <w:t>Leoni’s financial and asset situation continued to present a solid picture in the 2014 financial year.</w:t>
      </w:r>
      <w:r w:rsidRPr="0084609D">
        <w:rPr>
          <w:rFonts w:cs="Times New Roman"/>
          <w:szCs w:val="24"/>
          <w:lang w:val="en-US"/>
        </w:rPr>
        <w:t xml:space="preserve"> </w:t>
      </w:r>
      <w:r>
        <w:rPr>
          <w:rFonts w:cs="Times New Roman"/>
          <w:szCs w:val="24"/>
          <w:lang w:val="en-GB"/>
        </w:rPr>
        <w:t>Equity was up by about 11 percent to EUR 917.8 million at yearend (2013: EUR 827.6 million), while the equity ratio was virtually unchanged at 34.4 percent as of the reporting date (31</w:t>
      </w:r>
      <w:r w:rsidR="003941E2">
        <w:rPr>
          <w:rFonts w:cs="Times New Roman"/>
          <w:szCs w:val="24"/>
          <w:lang w:val="en-GB"/>
        </w:rPr>
        <w:t xml:space="preserve"> December </w:t>
      </w:r>
      <w:r>
        <w:rPr>
          <w:rFonts w:cs="Times New Roman"/>
          <w:szCs w:val="24"/>
          <w:lang w:val="en-GB"/>
        </w:rPr>
        <w:t>2013: 34.5 percent).</w:t>
      </w:r>
      <w:r w:rsidRPr="0084609D">
        <w:rPr>
          <w:rFonts w:cs="Times New Roman"/>
          <w:szCs w:val="24"/>
          <w:lang w:val="en-US"/>
        </w:rPr>
        <w:t xml:space="preserve"> </w:t>
      </w:r>
      <w:r>
        <w:rPr>
          <w:rFonts w:cs="Times New Roman"/>
          <w:szCs w:val="24"/>
          <w:lang w:val="en-GB"/>
        </w:rPr>
        <w:t>Due to the negative free cash flow and the dividend payout, net financial liabilities as at yearend rose from previously EUR 257.0 million to EUR 316.2 million this time.</w:t>
      </w:r>
      <w:r w:rsidRPr="0084609D">
        <w:rPr>
          <w:rFonts w:cs="Times New Roman"/>
          <w:szCs w:val="24"/>
          <w:lang w:val="en-US"/>
        </w:rPr>
        <w:t xml:space="preserve"> </w:t>
      </w:r>
      <w:r>
        <w:rPr>
          <w:rFonts w:cs="Times New Roman"/>
          <w:szCs w:val="24"/>
          <w:lang w:val="en-GB"/>
        </w:rPr>
        <w:t>Gearing was consequently up slightly to 34 percent (2013: 31 percent).</w:t>
      </w:r>
      <w:r w:rsidRPr="0084609D">
        <w:rPr>
          <w:rFonts w:cs="Times New Roman"/>
          <w:szCs w:val="24"/>
          <w:lang w:val="en-US"/>
        </w:rPr>
        <w:t xml:space="preserve"> </w:t>
      </w:r>
      <w:r>
        <w:rPr>
          <w:rFonts w:cs="Times New Roman"/>
          <w:szCs w:val="24"/>
          <w:lang w:val="en-GB"/>
        </w:rPr>
        <w:t>The return on capital employed (ROCE) was up marginally to 13.7 percent in the year under report (2013: 13.4 percent) and thereby met the target as adjusted in October 2014.</w:t>
      </w:r>
      <w:r w:rsidRPr="0084609D">
        <w:rPr>
          <w:rFonts w:cs="Times New Roman"/>
          <w:szCs w:val="24"/>
          <w:lang w:val="en-US"/>
        </w:rPr>
        <w:t xml:space="preserve"> </w:t>
      </w:r>
    </w:p>
    <w:p w14:paraId="6E8E1868" w14:textId="77777777" w:rsidR="00996B88" w:rsidRPr="0084609D" w:rsidRDefault="00996B88" w:rsidP="00996B88">
      <w:pPr>
        <w:pStyle w:val="MMZwischenberschrift"/>
        <w:rPr>
          <w:rFonts w:cs="Times New Roman"/>
          <w:szCs w:val="24"/>
          <w:lang w:val="en-US"/>
        </w:rPr>
      </w:pPr>
      <w:r>
        <w:rPr>
          <w:rFonts w:cs="Times New Roman"/>
          <w:szCs w:val="24"/>
          <w:lang w:val="en-GB"/>
        </w:rPr>
        <w:lastRenderedPageBreak/>
        <w:t>Forecast:</w:t>
      </w:r>
      <w:r w:rsidRPr="0084609D">
        <w:rPr>
          <w:rFonts w:cs="Times New Roman"/>
          <w:szCs w:val="24"/>
          <w:lang w:val="en-US"/>
        </w:rPr>
        <w:t xml:space="preserve"> </w:t>
      </w:r>
      <w:r>
        <w:rPr>
          <w:rFonts w:cs="Times New Roman"/>
          <w:szCs w:val="24"/>
          <w:lang w:val="en-GB"/>
        </w:rPr>
        <w:t>growth moderate in 2015 and strong in 2016</w:t>
      </w:r>
      <w:r w:rsidRPr="0084609D">
        <w:rPr>
          <w:rFonts w:cs="Times New Roman"/>
          <w:szCs w:val="24"/>
          <w:lang w:val="en-US"/>
        </w:rPr>
        <w:t xml:space="preserve">  </w:t>
      </w:r>
    </w:p>
    <w:p w14:paraId="5C4B4E35" w14:textId="77777777" w:rsidR="00996B88" w:rsidRPr="0084609D" w:rsidRDefault="00996B88" w:rsidP="00996B88">
      <w:pPr>
        <w:pStyle w:val="MMFlietext"/>
        <w:rPr>
          <w:rFonts w:cs="Times New Roman"/>
          <w:szCs w:val="24"/>
          <w:lang w:val="en-US"/>
        </w:rPr>
      </w:pPr>
      <w:r>
        <w:rPr>
          <w:rFonts w:cs="Times New Roman"/>
          <w:szCs w:val="24"/>
          <w:lang w:val="en-GB"/>
        </w:rPr>
        <w:t>Leoni will remain on its growth course in 2015 and expects sales to rise moderately to approx. EUR 4.3 billion, which will be underpinned above all by the Americas and Asia/Pacific.</w:t>
      </w:r>
      <w:r w:rsidRPr="0084609D">
        <w:rPr>
          <w:rFonts w:cs="Times New Roman"/>
          <w:szCs w:val="24"/>
          <w:lang w:val="en-US"/>
        </w:rPr>
        <w:t xml:space="preserve"> </w:t>
      </w:r>
      <w:r w:rsidR="00793171">
        <w:rPr>
          <w:rFonts w:cs="Times New Roman"/>
          <w:szCs w:val="24"/>
          <w:lang w:val="en-US"/>
        </w:rPr>
        <w:t>E</w:t>
      </w:r>
      <w:r w:rsidR="005727AC">
        <w:rPr>
          <w:rFonts w:cs="Times New Roman"/>
          <w:szCs w:val="24"/>
          <w:lang w:val="en-US"/>
        </w:rPr>
        <w:t xml:space="preserve">arnings </w:t>
      </w:r>
      <w:r>
        <w:rPr>
          <w:rFonts w:cs="Times New Roman"/>
          <w:szCs w:val="24"/>
          <w:lang w:val="en-GB"/>
        </w:rPr>
        <w:t>before interest and taxes will amount to more than EUR 200 million.</w:t>
      </w:r>
      <w:r w:rsidRPr="0084609D">
        <w:rPr>
          <w:rFonts w:cs="Times New Roman"/>
          <w:szCs w:val="24"/>
          <w:lang w:val="en-US"/>
        </w:rPr>
        <w:t xml:space="preserve"> </w:t>
      </w:r>
      <w:r>
        <w:rPr>
          <w:rFonts w:cs="Times New Roman"/>
          <w:szCs w:val="24"/>
          <w:lang w:val="en-GB"/>
        </w:rPr>
        <w:t>The Company will yet again invest heavily in its future expansion with capital expenditure of probably EUR 240 million.</w:t>
      </w:r>
      <w:r w:rsidRPr="0084609D">
        <w:rPr>
          <w:rFonts w:cs="Times New Roman"/>
          <w:szCs w:val="24"/>
          <w:lang w:val="en-US"/>
        </w:rPr>
        <w:t xml:space="preserve"> </w:t>
      </w:r>
      <w:r>
        <w:rPr>
          <w:rFonts w:cs="Times New Roman"/>
          <w:szCs w:val="24"/>
          <w:lang w:val="en-GB"/>
        </w:rPr>
        <w:t>Free cash flow is nevertheless expected to be neutral because of a larger inflow of cash. The figure targeted for the return on capital employed is a slightly improved one of 14 percent.</w:t>
      </w:r>
      <w:r w:rsidRPr="0084609D">
        <w:rPr>
          <w:rFonts w:cs="Times New Roman"/>
          <w:szCs w:val="24"/>
          <w:lang w:val="en-US"/>
        </w:rPr>
        <w:t xml:space="preserve"> </w:t>
      </w:r>
      <w:r>
        <w:rPr>
          <w:rFonts w:cs="Times New Roman"/>
          <w:szCs w:val="24"/>
          <w:lang w:val="en-GB"/>
        </w:rPr>
        <w:t>The equity ratio is likely to grow to more than 35 percent.</w:t>
      </w:r>
      <w:r w:rsidRPr="0084609D">
        <w:rPr>
          <w:rFonts w:cs="Times New Roman"/>
          <w:szCs w:val="24"/>
          <w:lang w:val="en-US"/>
        </w:rPr>
        <w:t xml:space="preserve"> </w:t>
      </w:r>
    </w:p>
    <w:p w14:paraId="50042DFB" w14:textId="77777777" w:rsidR="0065356D" w:rsidRDefault="00996B88" w:rsidP="00996B88">
      <w:pPr>
        <w:pStyle w:val="MMFlietext"/>
        <w:rPr>
          <w:lang w:val="en-GB"/>
        </w:rPr>
      </w:pPr>
      <w:r>
        <w:rPr>
          <w:rFonts w:cs="Times New Roman"/>
          <w:szCs w:val="24"/>
          <w:lang w:val="en-GB"/>
        </w:rPr>
        <w:t>As already communicated years ago, the 2016 financial year will see a strong growth surge to sales of EUR 5 billion.</w:t>
      </w:r>
      <w:r w:rsidRPr="0084609D">
        <w:rPr>
          <w:rFonts w:cs="Times New Roman"/>
          <w:szCs w:val="24"/>
          <w:lang w:val="en-US"/>
        </w:rPr>
        <w:t xml:space="preserve"> </w:t>
      </w:r>
      <w:r>
        <w:rPr>
          <w:rFonts w:cs="Times New Roman"/>
          <w:szCs w:val="24"/>
          <w:lang w:val="en-GB"/>
        </w:rPr>
        <w:t>The resulting additional profit contribution combined with further efficiency gains as well as significantly lower pre-production costs for new wiring system projects will make a 7 percent EBIT margin possible</w:t>
      </w:r>
      <w:r w:rsidR="0065356D">
        <w:rPr>
          <w:lang w:val="en-GB"/>
        </w:rPr>
        <w:t xml:space="preserve">. </w:t>
      </w:r>
    </w:p>
    <w:p w14:paraId="4B64D125" w14:textId="77777777" w:rsidR="00996B88"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2C6631">
        <w:rPr>
          <w:rFonts w:ascii="Arial" w:hAnsi="Arial" w:cs="Arial"/>
          <w:i/>
          <w:sz w:val="22"/>
          <w:szCs w:val="22"/>
          <w:lang w:val="en-GB"/>
        </w:rPr>
        <w:t>7,2</w:t>
      </w:r>
      <w:r w:rsidR="00F84C99">
        <w:rPr>
          <w:rFonts w:ascii="Arial" w:hAnsi="Arial" w:cs="Arial"/>
          <w:i/>
          <w:sz w:val="22"/>
          <w:szCs w:val="22"/>
          <w:lang w:val="en-GB"/>
        </w:rPr>
        <w:t>15</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14:paraId="75B865E9" w14:textId="77777777" w:rsidR="00996B88" w:rsidRPr="007C56C6" w:rsidRDefault="00996B88" w:rsidP="00996B88">
      <w:pPr>
        <w:pStyle w:val="MMKurzprofilberschrift"/>
        <w:spacing w:after="120"/>
        <w:rPr>
          <w:rFonts w:cs="Times New Roman"/>
          <w:szCs w:val="24"/>
          <w:lang w:val="en-US"/>
        </w:rPr>
      </w:pPr>
      <w:r w:rsidRPr="008218D9">
        <w:rPr>
          <w:rFonts w:cs="Times New Roman"/>
          <w:szCs w:val="24"/>
          <w:lang w:val="en-GB"/>
        </w:rPr>
        <w:t>Leoni performance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276"/>
        <w:gridCol w:w="1276"/>
        <w:gridCol w:w="1276"/>
      </w:tblGrid>
      <w:tr w:rsidR="00996B88" w14:paraId="030588CA" w14:textId="77777777" w:rsidTr="004A043B">
        <w:tc>
          <w:tcPr>
            <w:tcW w:w="4219" w:type="dxa"/>
          </w:tcPr>
          <w:p w14:paraId="3E2A83F2" w14:textId="77777777" w:rsidR="00996B88" w:rsidRDefault="00996B88" w:rsidP="004A043B">
            <w:pPr>
              <w:tabs>
                <w:tab w:val="left" w:pos="8505"/>
              </w:tabs>
              <w:rPr>
                <w:rFonts w:ascii="Arial" w:hAnsi="Arial"/>
                <w:b/>
                <w:sz w:val="18"/>
              </w:rPr>
            </w:pPr>
            <w:r>
              <w:rPr>
                <w:rFonts w:ascii="Arial" w:hAnsi="Arial" w:cs="Arial"/>
                <w:b/>
                <w:sz w:val="18"/>
                <w:szCs w:val="18"/>
              </w:rPr>
              <w:t>Group k</w:t>
            </w:r>
            <w:r w:rsidRPr="00DF6351">
              <w:rPr>
                <w:rFonts w:ascii="Arial" w:hAnsi="Arial" w:cs="Arial"/>
                <w:b/>
                <w:sz w:val="18"/>
                <w:szCs w:val="18"/>
              </w:rPr>
              <w:t>e</w:t>
            </w:r>
            <w:r>
              <w:rPr>
                <w:rFonts w:ascii="Arial" w:hAnsi="Arial" w:cs="Arial"/>
                <w:b/>
                <w:sz w:val="18"/>
                <w:szCs w:val="18"/>
              </w:rPr>
              <w:t>y figures</w:t>
            </w:r>
          </w:p>
        </w:tc>
        <w:tc>
          <w:tcPr>
            <w:tcW w:w="1276" w:type="dxa"/>
          </w:tcPr>
          <w:p w14:paraId="0014AEC3" w14:textId="77777777" w:rsidR="00996B88" w:rsidRDefault="00996B88" w:rsidP="00996B88">
            <w:pPr>
              <w:tabs>
                <w:tab w:val="left" w:pos="8505"/>
              </w:tabs>
              <w:rPr>
                <w:rFonts w:ascii="Arial" w:hAnsi="Arial"/>
                <w:b/>
                <w:sz w:val="18"/>
              </w:rPr>
            </w:pPr>
            <w:r>
              <w:rPr>
                <w:rFonts w:ascii="Arial" w:hAnsi="Arial"/>
                <w:b/>
                <w:sz w:val="18"/>
              </w:rPr>
              <w:t>2014</w:t>
            </w:r>
          </w:p>
        </w:tc>
        <w:tc>
          <w:tcPr>
            <w:tcW w:w="1276" w:type="dxa"/>
          </w:tcPr>
          <w:p w14:paraId="34812C22" w14:textId="77777777" w:rsidR="00996B88" w:rsidRDefault="00996B88" w:rsidP="00996B88">
            <w:pPr>
              <w:tabs>
                <w:tab w:val="left" w:pos="8505"/>
              </w:tabs>
              <w:rPr>
                <w:rFonts w:ascii="Arial" w:hAnsi="Arial"/>
                <w:b/>
                <w:sz w:val="18"/>
              </w:rPr>
            </w:pPr>
            <w:r>
              <w:rPr>
                <w:rFonts w:ascii="Arial" w:hAnsi="Arial"/>
                <w:b/>
                <w:sz w:val="18"/>
              </w:rPr>
              <w:t>2013</w:t>
            </w:r>
          </w:p>
        </w:tc>
        <w:tc>
          <w:tcPr>
            <w:tcW w:w="1276" w:type="dxa"/>
          </w:tcPr>
          <w:p w14:paraId="5A86DE28" w14:textId="77777777" w:rsidR="00996B88" w:rsidRDefault="00996B88" w:rsidP="004A043B">
            <w:pPr>
              <w:tabs>
                <w:tab w:val="left" w:pos="8505"/>
              </w:tabs>
              <w:ind w:left="-13" w:right="-108"/>
              <w:rPr>
                <w:rFonts w:ascii="Arial" w:hAnsi="Arial"/>
                <w:b/>
                <w:sz w:val="18"/>
              </w:rPr>
            </w:pPr>
            <w:r>
              <w:rPr>
                <w:rFonts w:ascii="Arial" w:hAnsi="Arial"/>
                <w:b/>
                <w:noProof/>
                <w:sz w:val="18"/>
              </w:rPr>
              <w:t>Change</w:t>
            </w:r>
          </w:p>
        </w:tc>
      </w:tr>
      <w:tr w:rsidR="00996B88" w:rsidRPr="00996B88" w14:paraId="35FF2632" w14:textId="77777777" w:rsidTr="00F648A9">
        <w:trPr>
          <w:trHeight w:val="284"/>
        </w:trPr>
        <w:tc>
          <w:tcPr>
            <w:tcW w:w="4219" w:type="dxa"/>
            <w:vAlign w:val="center"/>
          </w:tcPr>
          <w:p w14:paraId="065D6236" w14:textId="77777777" w:rsidR="00996B88" w:rsidRPr="007F68CF" w:rsidRDefault="00996B88" w:rsidP="004A043B">
            <w:pPr>
              <w:tabs>
                <w:tab w:val="left" w:pos="8505"/>
              </w:tabs>
              <w:rPr>
                <w:lang w:val="en-GB"/>
              </w:rPr>
            </w:pPr>
            <w:r>
              <w:rPr>
                <w:rFonts w:ascii="Arial" w:hAnsi="Arial"/>
                <w:sz w:val="18"/>
                <w:lang w:val="en-GB"/>
              </w:rPr>
              <w:t>Consolidated s</w:t>
            </w:r>
            <w:r w:rsidRPr="007F68CF">
              <w:rPr>
                <w:rFonts w:ascii="Arial" w:hAnsi="Arial"/>
                <w:sz w:val="18"/>
                <w:lang w:val="en-GB"/>
              </w:rPr>
              <w:t>ales [€ mil</w:t>
            </w:r>
            <w:r>
              <w:rPr>
                <w:rFonts w:ascii="Arial" w:hAnsi="Arial"/>
                <w:sz w:val="18"/>
                <w:lang w:val="en-GB"/>
              </w:rPr>
              <w:t>lion</w:t>
            </w:r>
            <w:r w:rsidRPr="007F68CF">
              <w:rPr>
                <w:rFonts w:ascii="Arial" w:hAnsi="Arial"/>
                <w:sz w:val="18"/>
                <w:lang w:val="en-GB"/>
              </w:rPr>
              <w:t>]</w:t>
            </w:r>
          </w:p>
        </w:tc>
        <w:tc>
          <w:tcPr>
            <w:tcW w:w="1276" w:type="dxa"/>
          </w:tcPr>
          <w:p w14:paraId="478D6745"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4,103.4</w:t>
            </w:r>
          </w:p>
        </w:tc>
        <w:tc>
          <w:tcPr>
            <w:tcW w:w="1276" w:type="dxa"/>
          </w:tcPr>
          <w:p w14:paraId="16BF8EA3"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3</w:t>
            </w:r>
            <w:r>
              <w:rPr>
                <w:rFonts w:ascii="Arial" w:hAnsi="Arial" w:cs="Arial"/>
                <w:sz w:val="18"/>
                <w:szCs w:val="18"/>
                <w:lang w:val="en-US"/>
              </w:rPr>
              <w:t>,</w:t>
            </w:r>
            <w:r w:rsidRPr="00996B88">
              <w:rPr>
                <w:rFonts w:ascii="Arial" w:hAnsi="Arial" w:cs="Arial"/>
                <w:sz w:val="18"/>
                <w:szCs w:val="18"/>
                <w:lang w:val="en-US"/>
              </w:rPr>
              <w:t>917</w:t>
            </w:r>
            <w:r>
              <w:rPr>
                <w:rFonts w:ascii="Arial" w:hAnsi="Arial" w:cs="Arial"/>
                <w:sz w:val="18"/>
                <w:szCs w:val="18"/>
                <w:lang w:val="en-US"/>
              </w:rPr>
              <w:t>.</w:t>
            </w:r>
            <w:r w:rsidRPr="00996B88">
              <w:rPr>
                <w:rFonts w:ascii="Arial" w:hAnsi="Arial" w:cs="Arial"/>
                <w:sz w:val="18"/>
                <w:szCs w:val="18"/>
                <w:lang w:val="en-US"/>
              </w:rPr>
              <w:t>9</w:t>
            </w:r>
          </w:p>
        </w:tc>
        <w:tc>
          <w:tcPr>
            <w:tcW w:w="1276" w:type="dxa"/>
          </w:tcPr>
          <w:p w14:paraId="4DCFBFD5"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+4</w:t>
            </w:r>
            <w:r>
              <w:rPr>
                <w:rFonts w:ascii="Arial" w:hAnsi="Arial" w:cs="Arial"/>
                <w:sz w:val="18"/>
                <w:szCs w:val="18"/>
                <w:lang w:val="en-US"/>
              </w:rPr>
              <w:t>.</w:t>
            </w:r>
            <w:r w:rsidRPr="00996B88">
              <w:rPr>
                <w:rFonts w:ascii="Arial" w:hAnsi="Arial" w:cs="Arial"/>
                <w:sz w:val="18"/>
                <w:szCs w:val="18"/>
                <w:lang w:val="en-US"/>
              </w:rPr>
              <w:t>7 %</w:t>
            </w:r>
          </w:p>
        </w:tc>
      </w:tr>
      <w:tr w:rsidR="00996B88" w:rsidRPr="00996B88" w14:paraId="27644260" w14:textId="77777777" w:rsidTr="00F648A9">
        <w:trPr>
          <w:trHeight w:val="284"/>
        </w:trPr>
        <w:tc>
          <w:tcPr>
            <w:tcW w:w="4219" w:type="dxa"/>
            <w:vAlign w:val="center"/>
          </w:tcPr>
          <w:p w14:paraId="18692183" w14:textId="77777777" w:rsidR="00996B88" w:rsidRPr="007F68CF" w:rsidRDefault="00996B88" w:rsidP="004A043B">
            <w:pPr>
              <w:tabs>
                <w:tab w:val="left" w:pos="8505"/>
              </w:tabs>
              <w:rPr>
                <w:lang w:val="en-GB"/>
              </w:rPr>
            </w:pPr>
            <w:r w:rsidRPr="007F68CF">
              <w:rPr>
                <w:rFonts w:ascii="Arial" w:hAnsi="Arial"/>
                <w:sz w:val="18"/>
                <w:lang w:val="en-GB"/>
              </w:rPr>
              <w:t xml:space="preserve">EBIT [€ </w:t>
            </w:r>
            <w:r>
              <w:rPr>
                <w:rFonts w:ascii="Arial" w:hAnsi="Arial"/>
                <w:sz w:val="18"/>
                <w:lang w:val="en-GB"/>
              </w:rPr>
              <w:t>million</w:t>
            </w:r>
            <w:r w:rsidRPr="007F68CF">
              <w:rPr>
                <w:rFonts w:ascii="Arial" w:hAnsi="Arial"/>
                <w:sz w:val="18"/>
                <w:lang w:val="en-GB"/>
              </w:rPr>
              <w:t>]</w:t>
            </w:r>
          </w:p>
        </w:tc>
        <w:tc>
          <w:tcPr>
            <w:tcW w:w="1276" w:type="dxa"/>
          </w:tcPr>
          <w:p w14:paraId="14374DCC"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182</w:t>
            </w:r>
            <w:r>
              <w:rPr>
                <w:rFonts w:ascii="Arial" w:hAnsi="Arial" w:cs="Arial"/>
                <w:sz w:val="18"/>
                <w:szCs w:val="18"/>
                <w:lang w:val="en-US"/>
              </w:rPr>
              <w:t>.</w:t>
            </w:r>
            <w:r w:rsidRPr="00996B88">
              <w:rPr>
                <w:rFonts w:ascii="Arial" w:hAnsi="Arial" w:cs="Arial"/>
                <w:sz w:val="18"/>
                <w:szCs w:val="18"/>
                <w:lang w:val="en-US"/>
              </w:rPr>
              <w:t>5</w:t>
            </w:r>
          </w:p>
        </w:tc>
        <w:tc>
          <w:tcPr>
            <w:tcW w:w="1276" w:type="dxa"/>
          </w:tcPr>
          <w:p w14:paraId="28B04F39"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163</w:t>
            </w:r>
            <w:r>
              <w:rPr>
                <w:rFonts w:ascii="Arial" w:hAnsi="Arial" w:cs="Arial"/>
                <w:sz w:val="18"/>
                <w:szCs w:val="18"/>
                <w:lang w:val="en-US"/>
              </w:rPr>
              <w:t>.</w:t>
            </w:r>
            <w:r w:rsidRPr="00996B88">
              <w:rPr>
                <w:rFonts w:ascii="Arial" w:hAnsi="Arial" w:cs="Arial"/>
                <w:sz w:val="18"/>
                <w:szCs w:val="18"/>
                <w:lang w:val="en-US"/>
              </w:rPr>
              <w:t>1</w:t>
            </w:r>
          </w:p>
        </w:tc>
        <w:tc>
          <w:tcPr>
            <w:tcW w:w="1276" w:type="dxa"/>
          </w:tcPr>
          <w:p w14:paraId="0EDBF575"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+11</w:t>
            </w:r>
            <w:r>
              <w:rPr>
                <w:rFonts w:ascii="Arial" w:hAnsi="Arial" w:cs="Arial"/>
                <w:sz w:val="18"/>
                <w:szCs w:val="18"/>
                <w:lang w:val="en-US"/>
              </w:rPr>
              <w:t>.</w:t>
            </w:r>
            <w:r w:rsidRPr="00996B88">
              <w:rPr>
                <w:rFonts w:ascii="Arial" w:hAnsi="Arial" w:cs="Arial"/>
                <w:sz w:val="18"/>
                <w:szCs w:val="18"/>
                <w:lang w:val="en-US"/>
              </w:rPr>
              <w:t>9 %</w:t>
            </w:r>
          </w:p>
        </w:tc>
      </w:tr>
      <w:tr w:rsidR="00996B88" w:rsidRPr="00996B88" w14:paraId="7C4D8EA3" w14:textId="77777777" w:rsidTr="00F648A9">
        <w:trPr>
          <w:trHeight w:val="284"/>
        </w:trPr>
        <w:tc>
          <w:tcPr>
            <w:tcW w:w="4219" w:type="dxa"/>
            <w:vAlign w:val="center"/>
          </w:tcPr>
          <w:p w14:paraId="4C53318B" w14:textId="77777777" w:rsidR="00996B88" w:rsidRPr="00A460D5" w:rsidRDefault="00996B88" w:rsidP="004A043B">
            <w:pPr>
              <w:tabs>
                <w:tab w:val="left" w:pos="8505"/>
              </w:tabs>
              <w:rPr>
                <w:rFonts w:ascii="Arial" w:hAnsi="Arial"/>
                <w:sz w:val="18"/>
                <w:lang w:val="en-US"/>
              </w:rPr>
            </w:pPr>
            <w:r w:rsidRPr="00A460D5">
              <w:rPr>
                <w:rFonts w:ascii="Arial" w:hAnsi="Arial"/>
                <w:noProof/>
                <w:sz w:val="18"/>
                <w:lang w:val="en-US"/>
              </w:rPr>
              <w:t xml:space="preserve">Adjusted EBIT </w:t>
            </w:r>
            <w:r w:rsidRPr="00A460D5">
              <w:rPr>
                <w:rFonts w:ascii="Arial" w:hAnsi="Arial"/>
                <w:noProof/>
                <w:sz w:val="18"/>
                <w:vertAlign w:val="superscript"/>
                <w:lang w:val="en-US"/>
              </w:rPr>
              <w:t>(1)</w:t>
            </w:r>
            <w:r w:rsidRPr="00A460D5">
              <w:rPr>
                <w:rFonts w:ascii="Arial" w:hAnsi="Arial"/>
                <w:noProof/>
                <w:sz w:val="18"/>
                <w:lang w:val="en-US"/>
              </w:rPr>
              <w:t xml:space="preserve"> </w:t>
            </w:r>
            <w:r w:rsidRPr="007F68CF">
              <w:rPr>
                <w:rFonts w:ascii="Arial" w:hAnsi="Arial"/>
                <w:sz w:val="18"/>
                <w:lang w:val="en-GB"/>
              </w:rPr>
              <w:t xml:space="preserve">[€ </w:t>
            </w:r>
            <w:r>
              <w:rPr>
                <w:rFonts w:ascii="Arial" w:hAnsi="Arial"/>
                <w:sz w:val="18"/>
                <w:lang w:val="en-GB"/>
              </w:rPr>
              <w:t>million</w:t>
            </w:r>
            <w:r w:rsidRPr="007F68CF">
              <w:rPr>
                <w:rFonts w:ascii="Arial" w:hAnsi="Arial"/>
                <w:sz w:val="18"/>
                <w:lang w:val="en-GB"/>
              </w:rPr>
              <w:t>]</w:t>
            </w:r>
          </w:p>
        </w:tc>
        <w:tc>
          <w:tcPr>
            <w:tcW w:w="1276" w:type="dxa"/>
          </w:tcPr>
          <w:p w14:paraId="2EA08514"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192</w:t>
            </w:r>
            <w:r>
              <w:rPr>
                <w:rFonts w:ascii="Arial" w:hAnsi="Arial" w:cs="Arial"/>
                <w:sz w:val="18"/>
                <w:szCs w:val="18"/>
                <w:lang w:val="en-US"/>
              </w:rPr>
              <w:t>.</w:t>
            </w:r>
            <w:r w:rsidRPr="00996B88">
              <w:rPr>
                <w:rFonts w:ascii="Arial" w:hAnsi="Arial" w:cs="Arial"/>
                <w:sz w:val="18"/>
                <w:szCs w:val="18"/>
                <w:lang w:val="en-US"/>
              </w:rPr>
              <w:t>7</w:t>
            </w:r>
          </w:p>
        </w:tc>
        <w:tc>
          <w:tcPr>
            <w:tcW w:w="1276" w:type="dxa"/>
          </w:tcPr>
          <w:p w14:paraId="5F1E131A"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198</w:t>
            </w:r>
            <w:r>
              <w:rPr>
                <w:rFonts w:ascii="Arial" w:hAnsi="Arial" w:cs="Arial"/>
                <w:sz w:val="18"/>
                <w:szCs w:val="18"/>
                <w:lang w:val="en-US"/>
              </w:rPr>
              <w:t>.</w:t>
            </w:r>
            <w:r w:rsidRPr="00996B88">
              <w:rPr>
                <w:rFonts w:ascii="Arial" w:hAnsi="Arial" w:cs="Arial"/>
                <w:sz w:val="18"/>
                <w:szCs w:val="18"/>
                <w:lang w:val="en-US"/>
              </w:rPr>
              <w:t>7</w:t>
            </w:r>
          </w:p>
        </w:tc>
        <w:tc>
          <w:tcPr>
            <w:tcW w:w="1276" w:type="dxa"/>
          </w:tcPr>
          <w:p w14:paraId="1FCFA730" w14:textId="77777777" w:rsidR="00996B88" w:rsidRPr="00996B88" w:rsidRDefault="00996B88" w:rsidP="00996B88">
            <w:pPr>
              <w:rPr>
                <w:rFonts w:ascii="Arial" w:hAnsi="Arial" w:cs="Arial"/>
                <w:sz w:val="18"/>
                <w:szCs w:val="18"/>
                <w:lang w:val="en-US"/>
              </w:rPr>
            </w:pPr>
            <w:r>
              <w:rPr>
                <w:rFonts w:ascii="Arial" w:hAnsi="Arial" w:cs="Arial"/>
                <w:sz w:val="18"/>
                <w:szCs w:val="18"/>
                <w:lang w:val="en-US"/>
              </w:rPr>
              <w:t>(</w:t>
            </w:r>
            <w:r w:rsidRPr="00996B88">
              <w:rPr>
                <w:rFonts w:ascii="Arial" w:hAnsi="Arial" w:cs="Arial"/>
                <w:sz w:val="18"/>
                <w:szCs w:val="18"/>
                <w:lang w:val="en-US"/>
              </w:rPr>
              <w:t>3</w:t>
            </w:r>
            <w:r>
              <w:rPr>
                <w:rFonts w:ascii="Arial" w:hAnsi="Arial" w:cs="Arial"/>
                <w:sz w:val="18"/>
                <w:szCs w:val="18"/>
                <w:lang w:val="en-US"/>
              </w:rPr>
              <w:t>.</w:t>
            </w:r>
            <w:r w:rsidRPr="00996B88">
              <w:rPr>
                <w:rFonts w:ascii="Arial" w:hAnsi="Arial" w:cs="Arial"/>
                <w:sz w:val="18"/>
                <w:szCs w:val="18"/>
                <w:lang w:val="en-US"/>
              </w:rPr>
              <w:t>0</w:t>
            </w:r>
            <w:r>
              <w:rPr>
                <w:rFonts w:ascii="Arial" w:hAnsi="Arial" w:cs="Arial"/>
                <w:sz w:val="18"/>
                <w:szCs w:val="18"/>
                <w:lang w:val="en-US"/>
              </w:rPr>
              <w:t>)</w:t>
            </w:r>
            <w:r w:rsidRPr="00996B88">
              <w:rPr>
                <w:rFonts w:ascii="Arial" w:hAnsi="Arial" w:cs="Arial"/>
                <w:sz w:val="18"/>
                <w:szCs w:val="18"/>
                <w:lang w:val="en-US"/>
              </w:rPr>
              <w:t xml:space="preserve"> %</w:t>
            </w:r>
          </w:p>
        </w:tc>
      </w:tr>
      <w:tr w:rsidR="00996B88" w:rsidRPr="00996B88" w14:paraId="5667E76E" w14:textId="77777777" w:rsidTr="00F648A9">
        <w:trPr>
          <w:trHeight w:val="284"/>
        </w:trPr>
        <w:tc>
          <w:tcPr>
            <w:tcW w:w="4219" w:type="dxa"/>
            <w:vAlign w:val="center"/>
          </w:tcPr>
          <w:p w14:paraId="4665F7E1" w14:textId="77777777" w:rsidR="00996B88" w:rsidRPr="007F68CF" w:rsidRDefault="00996B88" w:rsidP="004A043B">
            <w:pPr>
              <w:tabs>
                <w:tab w:val="left" w:pos="8505"/>
              </w:tabs>
              <w:rPr>
                <w:lang w:val="en-GB"/>
              </w:rPr>
            </w:pPr>
            <w:r w:rsidRPr="009E06E1">
              <w:rPr>
                <w:rFonts w:ascii="Arial" w:hAnsi="Arial"/>
                <w:sz w:val="18"/>
                <w:lang w:val="en-GB"/>
              </w:rPr>
              <w:t>EBIT margi</w:t>
            </w:r>
            <w:r>
              <w:rPr>
                <w:rFonts w:ascii="Arial" w:hAnsi="Arial"/>
                <w:sz w:val="18"/>
                <w:lang w:val="en-GB"/>
              </w:rPr>
              <w:t>n [%]</w:t>
            </w:r>
          </w:p>
        </w:tc>
        <w:tc>
          <w:tcPr>
            <w:tcW w:w="1276" w:type="dxa"/>
          </w:tcPr>
          <w:p w14:paraId="50E34589"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4</w:t>
            </w:r>
            <w:r>
              <w:rPr>
                <w:rFonts w:ascii="Arial" w:hAnsi="Arial" w:cs="Arial"/>
                <w:sz w:val="18"/>
                <w:szCs w:val="18"/>
                <w:lang w:val="en-US"/>
              </w:rPr>
              <w:t>.</w:t>
            </w:r>
            <w:r w:rsidRPr="00996B88">
              <w:rPr>
                <w:rFonts w:ascii="Arial" w:hAnsi="Arial" w:cs="Arial"/>
                <w:sz w:val="18"/>
                <w:szCs w:val="18"/>
                <w:lang w:val="en-US"/>
              </w:rPr>
              <w:t>4</w:t>
            </w:r>
          </w:p>
        </w:tc>
        <w:tc>
          <w:tcPr>
            <w:tcW w:w="1276" w:type="dxa"/>
          </w:tcPr>
          <w:p w14:paraId="39EF6798"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4</w:t>
            </w:r>
            <w:r>
              <w:rPr>
                <w:rFonts w:ascii="Arial" w:hAnsi="Arial" w:cs="Arial"/>
                <w:sz w:val="18"/>
                <w:szCs w:val="18"/>
                <w:lang w:val="en-US"/>
              </w:rPr>
              <w:t>.</w:t>
            </w:r>
            <w:r w:rsidRPr="00996B88">
              <w:rPr>
                <w:rFonts w:ascii="Arial" w:hAnsi="Arial" w:cs="Arial"/>
                <w:sz w:val="18"/>
                <w:szCs w:val="18"/>
                <w:lang w:val="en-US"/>
              </w:rPr>
              <w:t>2</w:t>
            </w:r>
          </w:p>
        </w:tc>
        <w:tc>
          <w:tcPr>
            <w:tcW w:w="1276" w:type="dxa"/>
          </w:tcPr>
          <w:p w14:paraId="30660F5B" w14:textId="77777777" w:rsidR="00996B88" w:rsidRPr="00996B88" w:rsidRDefault="00996B88" w:rsidP="0027502A">
            <w:pPr>
              <w:rPr>
                <w:rFonts w:ascii="Arial" w:hAnsi="Arial" w:cs="Arial"/>
                <w:sz w:val="18"/>
                <w:szCs w:val="18"/>
                <w:lang w:val="en-US"/>
              </w:rPr>
            </w:pPr>
            <w:r w:rsidRPr="00996B88">
              <w:rPr>
                <w:rFonts w:ascii="Arial" w:hAnsi="Arial" w:cs="Arial"/>
                <w:sz w:val="18"/>
                <w:szCs w:val="18"/>
                <w:lang w:val="en-US"/>
              </w:rPr>
              <w:t>--</w:t>
            </w:r>
          </w:p>
        </w:tc>
      </w:tr>
      <w:tr w:rsidR="00996B88" w:rsidRPr="00996B88" w14:paraId="2EF26C82" w14:textId="77777777" w:rsidTr="00F648A9">
        <w:trPr>
          <w:trHeight w:val="284"/>
        </w:trPr>
        <w:tc>
          <w:tcPr>
            <w:tcW w:w="4219" w:type="dxa"/>
            <w:vAlign w:val="center"/>
          </w:tcPr>
          <w:p w14:paraId="6B264AD7" w14:textId="77777777" w:rsidR="00996B88" w:rsidRPr="007F68CF" w:rsidRDefault="00996B88" w:rsidP="004A043B">
            <w:pPr>
              <w:tabs>
                <w:tab w:val="left" w:pos="8505"/>
              </w:tabs>
              <w:rPr>
                <w:lang w:val="en-GB"/>
              </w:rPr>
            </w:pPr>
            <w:r w:rsidRPr="007F68CF">
              <w:rPr>
                <w:rFonts w:ascii="Arial" w:hAnsi="Arial"/>
                <w:sz w:val="18"/>
                <w:lang w:val="en-GB"/>
              </w:rPr>
              <w:t xml:space="preserve">Consolidated net income [€ </w:t>
            </w:r>
            <w:r>
              <w:rPr>
                <w:rFonts w:ascii="Arial" w:hAnsi="Arial"/>
                <w:sz w:val="18"/>
                <w:lang w:val="en-GB"/>
              </w:rPr>
              <w:t>million</w:t>
            </w:r>
            <w:r w:rsidRPr="007F68CF">
              <w:rPr>
                <w:rFonts w:ascii="Arial" w:hAnsi="Arial"/>
                <w:sz w:val="18"/>
                <w:lang w:val="en-GB"/>
              </w:rPr>
              <w:t>]</w:t>
            </w:r>
          </w:p>
        </w:tc>
        <w:tc>
          <w:tcPr>
            <w:tcW w:w="1276" w:type="dxa"/>
          </w:tcPr>
          <w:p w14:paraId="3711F8D1"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115.1</w:t>
            </w:r>
          </w:p>
        </w:tc>
        <w:tc>
          <w:tcPr>
            <w:tcW w:w="1276" w:type="dxa"/>
          </w:tcPr>
          <w:p w14:paraId="4783342E"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105</w:t>
            </w:r>
            <w:r>
              <w:rPr>
                <w:rFonts w:ascii="Arial" w:hAnsi="Arial" w:cs="Arial"/>
                <w:sz w:val="18"/>
                <w:szCs w:val="18"/>
                <w:lang w:val="en-US"/>
              </w:rPr>
              <w:t>.</w:t>
            </w:r>
            <w:r w:rsidRPr="00996B88">
              <w:rPr>
                <w:rFonts w:ascii="Arial" w:hAnsi="Arial" w:cs="Arial"/>
                <w:sz w:val="18"/>
                <w:szCs w:val="18"/>
                <w:lang w:val="en-US"/>
              </w:rPr>
              <w:t>9</w:t>
            </w:r>
          </w:p>
        </w:tc>
        <w:tc>
          <w:tcPr>
            <w:tcW w:w="1276" w:type="dxa"/>
          </w:tcPr>
          <w:p w14:paraId="0F75A2C7"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+8</w:t>
            </w:r>
            <w:r>
              <w:rPr>
                <w:rFonts w:ascii="Arial" w:hAnsi="Arial" w:cs="Arial"/>
                <w:sz w:val="18"/>
                <w:szCs w:val="18"/>
                <w:lang w:val="en-US"/>
              </w:rPr>
              <w:t>.</w:t>
            </w:r>
            <w:r w:rsidRPr="00996B88">
              <w:rPr>
                <w:rFonts w:ascii="Arial" w:hAnsi="Arial" w:cs="Arial"/>
                <w:sz w:val="18"/>
                <w:szCs w:val="18"/>
                <w:lang w:val="en-US"/>
              </w:rPr>
              <w:t>7 %</w:t>
            </w:r>
          </w:p>
        </w:tc>
      </w:tr>
      <w:tr w:rsidR="00996B88" w:rsidRPr="00996B88" w14:paraId="02E1B88F" w14:textId="77777777" w:rsidTr="00F648A9">
        <w:trPr>
          <w:trHeight w:val="284"/>
        </w:trPr>
        <w:tc>
          <w:tcPr>
            <w:tcW w:w="4219" w:type="dxa"/>
            <w:vAlign w:val="center"/>
          </w:tcPr>
          <w:p w14:paraId="25398441" w14:textId="77777777" w:rsidR="00996B88" w:rsidRPr="00A460D5" w:rsidRDefault="00996B88" w:rsidP="004A043B">
            <w:pPr>
              <w:tabs>
                <w:tab w:val="left" w:pos="8505"/>
              </w:tabs>
              <w:rPr>
                <w:rFonts w:ascii="Arial" w:hAnsi="Arial"/>
                <w:sz w:val="18"/>
                <w:lang w:val="en-US"/>
              </w:rPr>
            </w:pPr>
            <w:r w:rsidRPr="00A460D5">
              <w:rPr>
                <w:rFonts w:ascii="Arial" w:hAnsi="Arial"/>
                <w:noProof/>
                <w:sz w:val="18"/>
                <w:lang w:val="en-US"/>
              </w:rPr>
              <w:t xml:space="preserve">Free cash flow </w:t>
            </w:r>
            <w:r w:rsidRPr="00A460D5">
              <w:rPr>
                <w:rFonts w:ascii="Arial" w:hAnsi="Arial"/>
                <w:noProof/>
                <w:sz w:val="18"/>
                <w:vertAlign w:val="superscript"/>
                <w:lang w:val="en-US"/>
              </w:rPr>
              <w:t xml:space="preserve">(2) </w:t>
            </w:r>
            <w:r w:rsidRPr="00A460D5">
              <w:rPr>
                <w:rFonts w:ascii="Arial" w:hAnsi="Arial"/>
                <w:noProof/>
                <w:sz w:val="18"/>
                <w:lang w:val="en-US"/>
              </w:rPr>
              <w:t>[</w:t>
            </w:r>
            <w:r w:rsidRPr="007F68CF">
              <w:rPr>
                <w:rFonts w:ascii="Arial" w:hAnsi="Arial"/>
                <w:sz w:val="18"/>
                <w:lang w:val="en-GB"/>
              </w:rPr>
              <w:t xml:space="preserve">€ </w:t>
            </w:r>
            <w:r>
              <w:rPr>
                <w:rFonts w:ascii="Arial" w:hAnsi="Arial"/>
                <w:sz w:val="18"/>
                <w:lang w:val="en-GB"/>
              </w:rPr>
              <w:t>million</w:t>
            </w:r>
            <w:r w:rsidRPr="007F68CF">
              <w:rPr>
                <w:rFonts w:ascii="Arial" w:hAnsi="Arial"/>
                <w:sz w:val="18"/>
                <w:lang w:val="en-GB"/>
              </w:rPr>
              <w:t>]</w:t>
            </w:r>
          </w:p>
        </w:tc>
        <w:tc>
          <w:tcPr>
            <w:tcW w:w="1276" w:type="dxa"/>
          </w:tcPr>
          <w:p w14:paraId="2A9380F7" w14:textId="77777777" w:rsidR="00996B88" w:rsidRPr="00996B88" w:rsidRDefault="00996B88" w:rsidP="00996B88">
            <w:pPr>
              <w:rPr>
                <w:rFonts w:ascii="Arial" w:hAnsi="Arial" w:cs="Arial"/>
                <w:sz w:val="18"/>
                <w:szCs w:val="18"/>
                <w:lang w:val="en-US"/>
              </w:rPr>
            </w:pPr>
            <w:r>
              <w:rPr>
                <w:rFonts w:ascii="Arial" w:hAnsi="Arial" w:cs="Arial"/>
                <w:sz w:val="18"/>
                <w:szCs w:val="18"/>
                <w:lang w:val="en-US"/>
              </w:rPr>
              <w:t>(</w:t>
            </w:r>
            <w:r w:rsidRPr="00996B88">
              <w:rPr>
                <w:rFonts w:ascii="Arial" w:hAnsi="Arial" w:cs="Arial"/>
                <w:sz w:val="18"/>
                <w:szCs w:val="18"/>
                <w:lang w:val="en-US"/>
              </w:rPr>
              <w:t>37</w:t>
            </w:r>
            <w:r>
              <w:rPr>
                <w:rFonts w:ascii="Arial" w:hAnsi="Arial" w:cs="Arial"/>
                <w:sz w:val="18"/>
                <w:szCs w:val="18"/>
                <w:lang w:val="en-US"/>
              </w:rPr>
              <w:t>.</w:t>
            </w:r>
            <w:r w:rsidRPr="00996B88">
              <w:rPr>
                <w:rFonts w:ascii="Arial" w:hAnsi="Arial" w:cs="Arial"/>
                <w:sz w:val="18"/>
                <w:szCs w:val="18"/>
                <w:lang w:val="en-US"/>
              </w:rPr>
              <w:t>9</w:t>
            </w:r>
            <w:r>
              <w:rPr>
                <w:rFonts w:ascii="Arial" w:hAnsi="Arial" w:cs="Arial"/>
                <w:sz w:val="18"/>
                <w:szCs w:val="18"/>
                <w:lang w:val="en-US"/>
              </w:rPr>
              <w:t>)</w:t>
            </w:r>
          </w:p>
        </w:tc>
        <w:tc>
          <w:tcPr>
            <w:tcW w:w="1276" w:type="dxa"/>
          </w:tcPr>
          <w:p w14:paraId="77C744EA"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36</w:t>
            </w:r>
            <w:r>
              <w:rPr>
                <w:rFonts w:ascii="Arial" w:hAnsi="Arial" w:cs="Arial"/>
                <w:sz w:val="18"/>
                <w:szCs w:val="18"/>
                <w:lang w:val="en-US"/>
              </w:rPr>
              <w:t>.</w:t>
            </w:r>
            <w:r w:rsidRPr="00996B88">
              <w:rPr>
                <w:rFonts w:ascii="Arial" w:hAnsi="Arial" w:cs="Arial"/>
                <w:sz w:val="18"/>
                <w:szCs w:val="18"/>
                <w:lang w:val="en-US"/>
              </w:rPr>
              <w:t>7</w:t>
            </w:r>
          </w:p>
        </w:tc>
        <w:tc>
          <w:tcPr>
            <w:tcW w:w="1276" w:type="dxa"/>
          </w:tcPr>
          <w:p w14:paraId="32ABC643" w14:textId="77777777" w:rsidR="00996B88" w:rsidRPr="00996B88" w:rsidRDefault="00996B88" w:rsidP="00996B88">
            <w:pPr>
              <w:rPr>
                <w:rFonts w:ascii="Arial" w:hAnsi="Arial" w:cs="Arial"/>
                <w:sz w:val="18"/>
                <w:szCs w:val="18"/>
                <w:lang w:val="en-US"/>
              </w:rPr>
            </w:pPr>
            <w:r>
              <w:rPr>
                <w:rFonts w:ascii="Arial" w:hAnsi="Arial" w:cs="Arial"/>
                <w:sz w:val="18"/>
                <w:szCs w:val="18"/>
                <w:lang w:val="en-US"/>
              </w:rPr>
              <w:t>(</w:t>
            </w:r>
            <w:r w:rsidRPr="00996B88">
              <w:rPr>
                <w:rFonts w:ascii="Arial" w:hAnsi="Arial" w:cs="Arial"/>
                <w:sz w:val="18"/>
                <w:szCs w:val="18"/>
                <w:lang w:val="en-US"/>
              </w:rPr>
              <w:t>203</w:t>
            </w:r>
            <w:r>
              <w:rPr>
                <w:rFonts w:ascii="Arial" w:hAnsi="Arial" w:cs="Arial"/>
                <w:sz w:val="18"/>
                <w:szCs w:val="18"/>
                <w:lang w:val="en-US"/>
              </w:rPr>
              <w:t>.</w:t>
            </w:r>
            <w:r w:rsidRPr="00996B88">
              <w:rPr>
                <w:rFonts w:ascii="Arial" w:hAnsi="Arial" w:cs="Arial"/>
                <w:sz w:val="18"/>
                <w:szCs w:val="18"/>
                <w:lang w:val="en-US"/>
              </w:rPr>
              <w:t>0</w:t>
            </w:r>
            <w:r>
              <w:rPr>
                <w:rFonts w:ascii="Arial" w:hAnsi="Arial" w:cs="Arial"/>
                <w:sz w:val="18"/>
                <w:szCs w:val="18"/>
                <w:lang w:val="en-US"/>
              </w:rPr>
              <w:t>)</w:t>
            </w:r>
            <w:r w:rsidRPr="00996B88">
              <w:rPr>
                <w:rFonts w:ascii="Arial" w:hAnsi="Arial" w:cs="Arial"/>
                <w:sz w:val="18"/>
                <w:szCs w:val="18"/>
                <w:lang w:val="en-US"/>
              </w:rPr>
              <w:t xml:space="preserve"> %</w:t>
            </w:r>
          </w:p>
        </w:tc>
      </w:tr>
      <w:tr w:rsidR="00996B88" w:rsidRPr="00996B88" w14:paraId="6DDCEC05" w14:textId="77777777" w:rsidTr="00F648A9">
        <w:trPr>
          <w:trHeight w:val="284"/>
        </w:trPr>
        <w:tc>
          <w:tcPr>
            <w:tcW w:w="4219" w:type="dxa"/>
            <w:vAlign w:val="center"/>
          </w:tcPr>
          <w:p w14:paraId="2871EC9D" w14:textId="77777777" w:rsidR="00996B88" w:rsidRPr="0004329A" w:rsidRDefault="00996B88" w:rsidP="004A043B">
            <w:pPr>
              <w:tabs>
                <w:tab w:val="left" w:pos="8505"/>
              </w:tabs>
              <w:rPr>
                <w:lang w:val="en-US"/>
              </w:rPr>
            </w:pPr>
            <w:r>
              <w:rPr>
                <w:rFonts w:ascii="Arial" w:hAnsi="Arial"/>
                <w:sz w:val="18"/>
                <w:lang w:val="en-US"/>
              </w:rPr>
              <w:t>Return on capital employed</w:t>
            </w:r>
            <w:r w:rsidRPr="0004329A">
              <w:rPr>
                <w:rFonts w:ascii="Arial" w:hAnsi="Arial"/>
                <w:sz w:val="18"/>
                <w:lang w:val="en-US"/>
              </w:rPr>
              <w:t xml:space="preserve"> [</w:t>
            </w:r>
            <w:r>
              <w:rPr>
                <w:rFonts w:ascii="Arial" w:hAnsi="Arial"/>
                <w:sz w:val="18"/>
                <w:lang w:val="en-US"/>
              </w:rPr>
              <w:t>%</w:t>
            </w:r>
            <w:r w:rsidRPr="0004329A">
              <w:rPr>
                <w:rFonts w:ascii="Arial" w:hAnsi="Arial"/>
                <w:sz w:val="18"/>
                <w:lang w:val="en-US"/>
              </w:rPr>
              <w:t>]</w:t>
            </w:r>
          </w:p>
        </w:tc>
        <w:tc>
          <w:tcPr>
            <w:tcW w:w="1276" w:type="dxa"/>
          </w:tcPr>
          <w:p w14:paraId="358F1263"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13</w:t>
            </w:r>
            <w:r>
              <w:rPr>
                <w:rFonts w:ascii="Arial" w:hAnsi="Arial" w:cs="Arial"/>
                <w:sz w:val="18"/>
                <w:szCs w:val="18"/>
                <w:lang w:val="en-US"/>
              </w:rPr>
              <w:t>.</w:t>
            </w:r>
            <w:r w:rsidRPr="00996B88">
              <w:rPr>
                <w:rFonts w:ascii="Arial" w:hAnsi="Arial" w:cs="Arial"/>
                <w:sz w:val="18"/>
                <w:szCs w:val="18"/>
                <w:lang w:val="en-US"/>
              </w:rPr>
              <w:t>7</w:t>
            </w:r>
          </w:p>
        </w:tc>
        <w:tc>
          <w:tcPr>
            <w:tcW w:w="1276" w:type="dxa"/>
          </w:tcPr>
          <w:p w14:paraId="4CC13828"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13</w:t>
            </w:r>
            <w:r>
              <w:rPr>
                <w:rFonts w:ascii="Arial" w:hAnsi="Arial" w:cs="Arial"/>
                <w:sz w:val="18"/>
                <w:szCs w:val="18"/>
                <w:lang w:val="en-US"/>
              </w:rPr>
              <w:t>.</w:t>
            </w:r>
            <w:r w:rsidRPr="00996B88">
              <w:rPr>
                <w:rFonts w:ascii="Arial" w:hAnsi="Arial" w:cs="Arial"/>
                <w:sz w:val="18"/>
                <w:szCs w:val="18"/>
                <w:lang w:val="en-US"/>
              </w:rPr>
              <w:t>2</w:t>
            </w:r>
          </w:p>
        </w:tc>
        <w:tc>
          <w:tcPr>
            <w:tcW w:w="1276" w:type="dxa"/>
          </w:tcPr>
          <w:p w14:paraId="2B94285B" w14:textId="77777777" w:rsidR="00996B88" w:rsidRPr="00996B88" w:rsidRDefault="00996B88" w:rsidP="0027502A">
            <w:pPr>
              <w:rPr>
                <w:rFonts w:ascii="Arial" w:hAnsi="Arial" w:cs="Arial"/>
                <w:sz w:val="18"/>
                <w:szCs w:val="18"/>
                <w:lang w:val="en-US"/>
              </w:rPr>
            </w:pPr>
            <w:r w:rsidRPr="00996B88">
              <w:rPr>
                <w:rFonts w:ascii="Arial" w:hAnsi="Arial" w:cs="Arial"/>
                <w:sz w:val="18"/>
                <w:szCs w:val="18"/>
                <w:lang w:val="en-US"/>
              </w:rPr>
              <w:t>--</w:t>
            </w:r>
          </w:p>
        </w:tc>
      </w:tr>
      <w:tr w:rsidR="00996B88" w:rsidRPr="00996B88" w14:paraId="3EE04167" w14:textId="77777777" w:rsidTr="00F648A9">
        <w:trPr>
          <w:trHeight w:val="284"/>
        </w:trPr>
        <w:tc>
          <w:tcPr>
            <w:tcW w:w="4219" w:type="dxa"/>
            <w:vAlign w:val="center"/>
          </w:tcPr>
          <w:p w14:paraId="4F57682A" w14:textId="77777777" w:rsidR="00996B88" w:rsidRPr="00B8338C" w:rsidRDefault="00996B88" w:rsidP="004A043B">
            <w:pPr>
              <w:tabs>
                <w:tab w:val="left" w:pos="8505"/>
              </w:tabs>
              <w:rPr>
                <w:rFonts w:ascii="Arial" w:hAnsi="Arial"/>
                <w:sz w:val="18"/>
                <w:lang w:val="en-GB"/>
              </w:rPr>
            </w:pPr>
            <w:r w:rsidRPr="00B8338C">
              <w:rPr>
                <w:rFonts w:ascii="Arial" w:hAnsi="Arial"/>
                <w:sz w:val="18"/>
                <w:lang w:val="en-GB"/>
              </w:rPr>
              <w:t xml:space="preserve">Capital expenditure on property, plant and equipment as well as intangible assets </w:t>
            </w:r>
            <w:r w:rsidRPr="007F68CF">
              <w:rPr>
                <w:rFonts w:ascii="Arial" w:hAnsi="Arial"/>
                <w:sz w:val="18"/>
                <w:lang w:val="en-GB"/>
              </w:rPr>
              <w:t>[</w:t>
            </w:r>
            <w:r>
              <w:rPr>
                <w:rFonts w:ascii="Arial" w:hAnsi="Arial"/>
                <w:sz w:val="18"/>
                <w:lang w:val="en-GB"/>
              </w:rPr>
              <w:t>€ million</w:t>
            </w:r>
            <w:r w:rsidRPr="007F68CF">
              <w:rPr>
                <w:rFonts w:ascii="Arial" w:hAnsi="Arial"/>
                <w:sz w:val="18"/>
                <w:lang w:val="en-GB"/>
              </w:rPr>
              <w:t>]</w:t>
            </w:r>
          </w:p>
        </w:tc>
        <w:tc>
          <w:tcPr>
            <w:tcW w:w="1276" w:type="dxa"/>
          </w:tcPr>
          <w:p w14:paraId="6743DFE8"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215.8</w:t>
            </w:r>
          </w:p>
        </w:tc>
        <w:tc>
          <w:tcPr>
            <w:tcW w:w="1276" w:type="dxa"/>
          </w:tcPr>
          <w:p w14:paraId="31F1C084"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168</w:t>
            </w:r>
            <w:r>
              <w:rPr>
                <w:rFonts w:ascii="Arial" w:hAnsi="Arial" w:cs="Arial"/>
                <w:sz w:val="18"/>
                <w:szCs w:val="18"/>
                <w:lang w:val="en-US"/>
              </w:rPr>
              <w:t>.</w:t>
            </w:r>
            <w:r w:rsidRPr="00996B88">
              <w:rPr>
                <w:rFonts w:ascii="Arial" w:hAnsi="Arial" w:cs="Arial"/>
                <w:sz w:val="18"/>
                <w:szCs w:val="18"/>
                <w:lang w:val="en-US"/>
              </w:rPr>
              <w:t>4</w:t>
            </w:r>
          </w:p>
        </w:tc>
        <w:tc>
          <w:tcPr>
            <w:tcW w:w="1276" w:type="dxa"/>
          </w:tcPr>
          <w:p w14:paraId="22735DC0" w14:textId="77777777" w:rsidR="00996B88" w:rsidRPr="00996B88" w:rsidRDefault="00996B88" w:rsidP="00996B88">
            <w:pPr>
              <w:rPr>
                <w:rFonts w:ascii="Arial" w:hAnsi="Arial" w:cs="Arial"/>
                <w:sz w:val="18"/>
                <w:szCs w:val="18"/>
                <w:lang w:val="en-US"/>
              </w:rPr>
            </w:pPr>
            <w:r w:rsidRPr="00996B88">
              <w:rPr>
                <w:rFonts w:ascii="Arial" w:hAnsi="Arial" w:cs="Arial"/>
                <w:sz w:val="18"/>
                <w:szCs w:val="18"/>
                <w:lang w:val="en-US"/>
              </w:rPr>
              <w:t>+28</w:t>
            </w:r>
            <w:r>
              <w:rPr>
                <w:rFonts w:ascii="Arial" w:hAnsi="Arial" w:cs="Arial"/>
                <w:sz w:val="18"/>
                <w:szCs w:val="18"/>
                <w:lang w:val="en-US"/>
              </w:rPr>
              <w:t>.</w:t>
            </w:r>
            <w:r w:rsidRPr="00996B88">
              <w:rPr>
                <w:rFonts w:ascii="Arial" w:hAnsi="Arial" w:cs="Arial"/>
                <w:sz w:val="18"/>
                <w:szCs w:val="18"/>
                <w:lang w:val="en-US"/>
              </w:rPr>
              <w:t>1 %</w:t>
            </w:r>
          </w:p>
        </w:tc>
      </w:tr>
      <w:tr w:rsidR="00015ED2" w:rsidRPr="00996B88" w14:paraId="64A2FCBA" w14:textId="77777777" w:rsidTr="00F648A9">
        <w:trPr>
          <w:trHeight w:val="284"/>
        </w:trPr>
        <w:tc>
          <w:tcPr>
            <w:tcW w:w="4219" w:type="dxa"/>
            <w:vAlign w:val="center"/>
          </w:tcPr>
          <w:p w14:paraId="3C39DE2A" w14:textId="77777777" w:rsidR="00015ED2" w:rsidRPr="0004329A" w:rsidRDefault="00015ED2" w:rsidP="004A043B">
            <w:pPr>
              <w:tabs>
                <w:tab w:val="left" w:pos="8505"/>
              </w:tabs>
              <w:rPr>
                <w:rFonts w:ascii="Arial" w:hAnsi="Arial"/>
                <w:sz w:val="18"/>
                <w:lang w:val="en-GB"/>
              </w:rPr>
            </w:pPr>
            <w:r w:rsidRPr="0004329A">
              <w:rPr>
                <w:rFonts w:ascii="Arial" w:hAnsi="Arial"/>
                <w:sz w:val="18"/>
                <w:lang w:val="en-GB"/>
              </w:rPr>
              <w:t>Employees (as at 31 Dec.)</w:t>
            </w:r>
          </w:p>
        </w:tc>
        <w:tc>
          <w:tcPr>
            <w:tcW w:w="1276" w:type="dxa"/>
          </w:tcPr>
          <w:p w14:paraId="130CD19E" w14:textId="77777777" w:rsidR="00015ED2" w:rsidRPr="00996B88" w:rsidRDefault="00015ED2" w:rsidP="004A043B">
            <w:pPr>
              <w:rPr>
                <w:rFonts w:ascii="Arial" w:hAnsi="Arial" w:cs="Arial"/>
                <w:sz w:val="18"/>
                <w:szCs w:val="18"/>
                <w:lang w:val="en-US"/>
              </w:rPr>
            </w:pPr>
            <w:r w:rsidRPr="00996B88">
              <w:rPr>
                <w:rFonts w:ascii="Arial" w:hAnsi="Arial" w:cs="Arial"/>
                <w:sz w:val="18"/>
                <w:szCs w:val="18"/>
                <w:lang w:val="en-US"/>
              </w:rPr>
              <w:t>67</w:t>
            </w:r>
            <w:r>
              <w:rPr>
                <w:rFonts w:ascii="Arial" w:hAnsi="Arial" w:cs="Arial"/>
                <w:sz w:val="18"/>
                <w:szCs w:val="18"/>
                <w:lang w:val="en-US"/>
              </w:rPr>
              <w:t>,</w:t>
            </w:r>
            <w:r w:rsidRPr="00996B88">
              <w:rPr>
                <w:rFonts w:ascii="Arial" w:hAnsi="Arial" w:cs="Arial"/>
                <w:sz w:val="18"/>
                <w:szCs w:val="18"/>
                <w:lang w:val="en-US"/>
              </w:rPr>
              <w:t>988</w:t>
            </w:r>
          </w:p>
        </w:tc>
        <w:tc>
          <w:tcPr>
            <w:tcW w:w="1276" w:type="dxa"/>
          </w:tcPr>
          <w:p w14:paraId="6DD26480" w14:textId="77777777" w:rsidR="00015ED2" w:rsidRPr="00996B88" w:rsidRDefault="00015ED2" w:rsidP="004A043B">
            <w:pPr>
              <w:rPr>
                <w:rFonts w:ascii="Arial" w:hAnsi="Arial" w:cs="Arial"/>
                <w:sz w:val="18"/>
                <w:szCs w:val="18"/>
                <w:lang w:val="en-US"/>
              </w:rPr>
            </w:pPr>
            <w:r w:rsidRPr="00996B88">
              <w:rPr>
                <w:rFonts w:ascii="Arial" w:hAnsi="Arial" w:cs="Arial"/>
                <w:sz w:val="18"/>
                <w:szCs w:val="18"/>
                <w:lang w:val="en-US"/>
              </w:rPr>
              <w:t>61</w:t>
            </w:r>
            <w:r>
              <w:rPr>
                <w:rFonts w:ascii="Arial" w:hAnsi="Arial" w:cs="Arial"/>
                <w:sz w:val="18"/>
                <w:szCs w:val="18"/>
                <w:lang w:val="en-US"/>
              </w:rPr>
              <w:t>,</w:t>
            </w:r>
            <w:r w:rsidRPr="00996B88">
              <w:rPr>
                <w:rFonts w:ascii="Arial" w:hAnsi="Arial" w:cs="Arial"/>
                <w:sz w:val="18"/>
                <w:szCs w:val="18"/>
                <w:lang w:val="en-US"/>
              </w:rPr>
              <w:t>591</w:t>
            </w:r>
          </w:p>
        </w:tc>
        <w:tc>
          <w:tcPr>
            <w:tcW w:w="1276" w:type="dxa"/>
          </w:tcPr>
          <w:p w14:paraId="3B6674FE" w14:textId="77777777" w:rsidR="00015ED2" w:rsidRPr="00996B88" w:rsidRDefault="00015ED2" w:rsidP="004A043B">
            <w:pPr>
              <w:rPr>
                <w:rFonts w:ascii="Arial" w:hAnsi="Arial" w:cs="Arial"/>
                <w:sz w:val="18"/>
                <w:szCs w:val="18"/>
                <w:lang w:val="en-US"/>
              </w:rPr>
            </w:pPr>
            <w:r w:rsidRPr="00996B88">
              <w:rPr>
                <w:rFonts w:ascii="Arial" w:hAnsi="Arial" w:cs="Arial"/>
                <w:sz w:val="18"/>
                <w:szCs w:val="18"/>
                <w:lang w:val="en-US"/>
              </w:rPr>
              <w:t>+10</w:t>
            </w:r>
            <w:r>
              <w:rPr>
                <w:rFonts w:ascii="Arial" w:hAnsi="Arial" w:cs="Arial"/>
                <w:sz w:val="18"/>
                <w:szCs w:val="18"/>
                <w:lang w:val="en-US"/>
              </w:rPr>
              <w:t>.</w:t>
            </w:r>
            <w:r w:rsidRPr="00996B88">
              <w:rPr>
                <w:rFonts w:ascii="Arial" w:hAnsi="Arial" w:cs="Arial"/>
                <w:sz w:val="18"/>
                <w:szCs w:val="18"/>
                <w:lang w:val="en-US"/>
              </w:rPr>
              <w:t>4 %</w:t>
            </w:r>
          </w:p>
        </w:tc>
      </w:tr>
    </w:tbl>
    <w:p w14:paraId="5BC65E36" w14:textId="77777777" w:rsidR="00996B88" w:rsidRPr="00A460D5" w:rsidRDefault="00996B88" w:rsidP="00996B88">
      <w:pPr>
        <w:autoSpaceDE w:val="0"/>
        <w:autoSpaceDN w:val="0"/>
        <w:adjustRightInd w:val="0"/>
        <w:ind w:left="360" w:right="1854"/>
        <w:rPr>
          <w:rFonts w:ascii="Arial" w:hAnsi="Arial"/>
          <w:i/>
          <w:sz w:val="16"/>
          <w:lang w:val="en-US"/>
        </w:rPr>
      </w:pPr>
    </w:p>
    <w:p w14:paraId="64191402" w14:textId="77777777" w:rsidR="00996B88" w:rsidRPr="00A460D5" w:rsidRDefault="00996B88" w:rsidP="00996B88">
      <w:pPr>
        <w:pStyle w:val="Listenabsatz"/>
        <w:numPr>
          <w:ilvl w:val="0"/>
          <w:numId w:val="3"/>
        </w:numPr>
        <w:autoSpaceDE w:val="0"/>
        <w:autoSpaceDN w:val="0"/>
        <w:adjustRightInd w:val="0"/>
        <w:ind w:left="284" w:right="1711" w:hanging="284"/>
        <w:rPr>
          <w:rFonts w:ascii="Arial" w:hAnsi="Arial"/>
          <w:i/>
          <w:sz w:val="16"/>
          <w:lang w:val="en-US"/>
        </w:rPr>
      </w:pPr>
      <w:r w:rsidRPr="00A460D5">
        <w:rPr>
          <w:rFonts w:ascii="Arial" w:hAnsi="Arial"/>
          <w:i/>
          <w:sz w:val="16"/>
          <w:lang w:val="en-US"/>
        </w:rPr>
        <w:t>Earnings adjusted for the impact of revaluation as part of allocating the prices of the major acquisitions, restructuring, impairment of non-current assets, capital gains on the disposal of businesses and income from business combinations including related derivatives</w:t>
      </w:r>
    </w:p>
    <w:p w14:paraId="31217B20" w14:textId="77777777" w:rsidR="00996B88" w:rsidRDefault="00996B88" w:rsidP="00996B88">
      <w:pPr>
        <w:pStyle w:val="Listenabsatz"/>
        <w:numPr>
          <w:ilvl w:val="0"/>
          <w:numId w:val="3"/>
        </w:numPr>
        <w:autoSpaceDE w:val="0"/>
        <w:autoSpaceDN w:val="0"/>
        <w:adjustRightInd w:val="0"/>
        <w:ind w:left="284" w:right="1711" w:hanging="284"/>
        <w:rPr>
          <w:rFonts w:ascii="Arial" w:hAnsi="Arial"/>
          <w:i/>
          <w:sz w:val="16"/>
        </w:rPr>
      </w:pPr>
      <w:r w:rsidRPr="0004329A">
        <w:rPr>
          <w:rFonts w:ascii="Arial" w:hAnsi="Arial"/>
          <w:i/>
          <w:sz w:val="16"/>
          <w:lang w:val="en-GB"/>
        </w:rPr>
        <w:t>before acquisitions</w:t>
      </w:r>
      <w:r>
        <w:rPr>
          <w:rFonts w:ascii="Arial" w:hAnsi="Arial"/>
          <w:i/>
          <w:sz w:val="16"/>
          <w:lang w:val="en-GB"/>
        </w:rPr>
        <w:t xml:space="preserve"> and divestments</w:t>
      </w:r>
    </w:p>
    <w:p w14:paraId="6C7D51C4" w14:textId="77777777" w:rsidR="00996B88" w:rsidRPr="00996B88" w:rsidRDefault="00996B88" w:rsidP="00996B88">
      <w:pPr>
        <w:pStyle w:val="Listenabsatz"/>
        <w:autoSpaceDE w:val="0"/>
        <w:autoSpaceDN w:val="0"/>
        <w:adjustRightInd w:val="0"/>
        <w:ind w:left="284" w:right="1711"/>
        <w:rPr>
          <w:rFonts w:ascii="Arial" w:hAnsi="Arial"/>
          <w:i/>
          <w:sz w:val="16"/>
        </w:rPr>
      </w:pPr>
    </w:p>
    <w:p w14:paraId="1EB6AF8F" w14:textId="77777777" w:rsidR="00996B88" w:rsidRPr="002C6631" w:rsidRDefault="00015ED2" w:rsidP="00015ED2">
      <w:pPr>
        <w:ind w:right="1922"/>
        <w:rPr>
          <w:rFonts w:ascii="Arial" w:hAnsi="Arial" w:cs="Arial"/>
          <w:i/>
          <w:sz w:val="22"/>
          <w:szCs w:val="22"/>
          <w:lang w:val="en-GB"/>
        </w:rPr>
      </w:pPr>
      <w:r>
        <w:rPr>
          <w:rFonts w:ascii="Arial" w:hAnsi="Arial"/>
          <w:sz w:val="36"/>
          <w:szCs w:val="36"/>
          <w:lang w:val="en-GB"/>
        </w:rPr>
        <w:br w:type="page"/>
      </w:r>
      <w:r w:rsidR="00996B88" w:rsidRPr="00C85271">
        <w:rPr>
          <w:rFonts w:ascii="Arial" w:hAnsi="Arial"/>
          <w:sz w:val="36"/>
          <w:szCs w:val="36"/>
          <w:lang w:val="en-GB"/>
        </w:rPr>
        <w:lastRenderedPageBreak/>
        <w:sym w:font="Wingdings" w:char="F046"/>
      </w:r>
      <w:r w:rsidR="00996B88" w:rsidRPr="00C85271">
        <w:rPr>
          <w:rFonts w:ascii="Arial" w:hAnsi="Arial"/>
          <w:i/>
          <w:sz w:val="20"/>
          <w:lang w:val="en-GB"/>
        </w:rPr>
        <w:t xml:space="preserve"> </w:t>
      </w:r>
      <w:r w:rsidR="00996B88" w:rsidRPr="002C6631">
        <w:rPr>
          <w:rFonts w:ascii="Arial" w:hAnsi="Arial"/>
          <w:i/>
          <w:sz w:val="22"/>
          <w:szCs w:val="22"/>
          <w:lang w:val="en-GB"/>
        </w:rPr>
        <w:t xml:space="preserve">Related illustration material and further information can be downloaded </w:t>
      </w:r>
      <w:r w:rsidRPr="002C6631">
        <w:rPr>
          <w:rFonts w:ascii="Arial" w:hAnsi="Arial" w:cs="Arial"/>
          <w:i/>
          <w:sz w:val="22"/>
          <w:szCs w:val="22"/>
          <w:lang w:val="en-GB"/>
        </w:rPr>
        <w:t xml:space="preserve">next to this release at </w:t>
      </w:r>
      <w:hyperlink r:id="rId8" w:history="1">
        <w:r w:rsidRPr="002C6631">
          <w:rPr>
            <w:rStyle w:val="Link"/>
            <w:rFonts w:ascii="Arial" w:hAnsi="Arial" w:cs="Arial"/>
            <w:i/>
            <w:sz w:val="22"/>
            <w:szCs w:val="22"/>
            <w:lang w:val="en-GB"/>
          </w:rPr>
          <w:t>www.leoni.com/en/press/releases/details/leoni-again-invests-heavily-in-global-expansion/</w:t>
        </w:r>
      </w:hyperlink>
      <w:r w:rsidR="00996B88" w:rsidRPr="00C85271">
        <w:rPr>
          <w:rFonts w:ascii="Arial" w:hAnsi="Arial"/>
          <w:i/>
          <w:sz w:val="21"/>
          <w:lang w:val="en-GB"/>
        </w:rPr>
        <w:t xml:space="preserve"> </w:t>
      </w:r>
      <w:r w:rsidR="00996B88">
        <w:rPr>
          <w:rFonts w:ascii="Arial" w:hAnsi="Arial"/>
          <w:i/>
          <w:sz w:val="21"/>
          <w:lang w:val="en-GB"/>
        </w:rPr>
        <w:br/>
      </w:r>
      <w:r w:rsidR="00996B88" w:rsidRPr="002C049D">
        <w:rPr>
          <w:rFonts w:ascii="Arial" w:hAnsi="Arial"/>
          <w:sz w:val="36"/>
          <w:szCs w:val="36"/>
          <w:lang w:val="en-GB"/>
        </w:rPr>
        <w:sym w:font="Wingdings" w:char="F046"/>
      </w:r>
      <w:r w:rsidR="00996B88" w:rsidRPr="002C049D">
        <w:rPr>
          <w:rFonts w:ascii="Arial" w:hAnsi="Arial"/>
          <w:i/>
          <w:sz w:val="20"/>
          <w:lang w:val="en-GB"/>
        </w:rPr>
        <w:t xml:space="preserve"> </w:t>
      </w:r>
      <w:r w:rsidR="00996B88" w:rsidRPr="002C6631">
        <w:rPr>
          <w:rFonts w:ascii="Arial" w:hAnsi="Arial"/>
          <w:i/>
          <w:sz w:val="22"/>
          <w:szCs w:val="22"/>
          <w:lang w:val="en-GB"/>
        </w:rPr>
        <w:t xml:space="preserve">The complete annual report can be downloaded from </w:t>
      </w:r>
      <w:hyperlink r:id="rId9" w:history="1">
        <w:r w:rsidRPr="002C6631">
          <w:rPr>
            <w:rStyle w:val="Link"/>
            <w:rFonts w:ascii="Arial" w:hAnsi="Arial" w:cs="Arial"/>
            <w:i/>
            <w:sz w:val="22"/>
            <w:szCs w:val="22"/>
            <w:lang w:val="en-US"/>
          </w:rPr>
          <w:t>www.leoni.com/en/financial-publications/</w:t>
        </w:r>
      </w:hyperlink>
    </w:p>
    <w:p w14:paraId="6179D564" w14:textId="77777777" w:rsidR="00F76833" w:rsidRPr="00C85271" w:rsidRDefault="00F76833" w:rsidP="00744F2F">
      <w:pPr>
        <w:pStyle w:val="MMKurzprofilberschrift"/>
        <w:ind w:right="1922"/>
        <w:rPr>
          <w:lang w:val="en-GB"/>
        </w:rPr>
      </w:pPr>
      <w:r w:rsidRPr="00C85271">
        <w:rPr>
          <w:lang w:val="en-GB"/>
        </w:rPr>
        <w:t>About the Leoni Group</w:t>
      </w:r>
    </w:p>
    <w:p w14:paraId="19FC525E" w14:textId="77777777"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w:t>
      </w:r>
      <w:r w:rsidR="00D000D7" w:rsidRPr="004C4E56">
        <w:t>about 6</w:t>
      </w:r>
      <w:r w:rsidR="00015ED2">
        <w:t>8</w:t>
      </w:r>
      <w:r w:rsidR="00D000D7" w:rsidRPr="004C4E56">
        <w:t>,000 people in 3</w:t>
      </w:r>
      <w:r w:rsidR="006D22B0">
        <w:t>1</w:t>
      </w:r>
      <w:r w:rsidR="00D000D7" w:rsidRPr="004C4E56">
        <w:t xml:space="preserve"> countries and generated consolidated</w:t>
      </w:r>
      <w:r w:rsidR="006D22B0">
        <w:t xml:space="preserve"> sales</w:t>
      </w:r>
      <w:r w:rsidR="00D000D7" w:rsidRPr="004C4E56">
        <w:t xml:space="preserve"> </w:t>
      </w:r>
      <w:r w:rsidR="006D22B0" w:rsidRPr="006D22B0">
        <w:t>of EUR 4.1 billion in 2014</w:t>
      </w:r>
      <w:r w:rsidRPr="004C4E56">
        <w:t>.</w:t>
      </w:r>
    </w:p>
    <w:p w14:paraId="7FF0AF58" w14:textId="77777777" w:rsidR="00B351E3" w:rsidRPr="004C4E56" w:rsidRDefault="00B351E3" w:rsidP="004C4E56">
      <w:pPr>
        <w:pStyle w:val="MMKurzprofil"/>
        <w:rPr>
          <w:sz w:val="8"/>
          <w:szCs w:val="8"/>
        </w:rPr>
      </w:pPr>
    </w:p>
    <w:p w14:paraId="4F83C2F2" w14:textId="77777777" w:rsidR="00B351E3" w:rsidRPr="00541D3C" w:rsidRDefault="008E1AB7" w:rsidP="004C4E56">
      <w:pPr>
        <w:pStyle w:val="MMKurzprofil"/>
      </w:pPr>
      <w:r>
        <w:fldChar w:fldCharType="begin"/>
      </w:r>
      <w:r>
        <w:instrText xml:space="preserve"> HYPERLINK "http://www.facebook.com/theleonigroup" \t "_blank" </w:instrText>
      </w:r>
      <w:r>
        <w:fldChar w:fldCharType="separate"/>
      </w:r>
      <w:r>
        <w:pict w14:anchorId="61A77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4pt" wrapcoords="-1137 0 -1137 20463 21600 20463 21600 0 -1137 0" o:allowoverlap="f" o:button="t">
            <v:imagedata r:id="rId10" o:title=""/>
          </v:shape>
        </w:pict>
      </w:r>
      <w:r>
        <w:fldChar w:fldCharType="end"/>
      </w:r>
      <w:r w:rsidR="00B351E3" w:rsidRPr="00541D3C">
        <w:rPr>
          <w:noProof/>
        </w:rPr>
        <w:t xml:space="preserve"> </w:t>
      </w:r>
      <w:r>
        <w:fldChar w:fldCharType="begin"/>
      </w:r>
      <w:r>
        <w:instrText xml:space="preserve"> HYPERLINK "https://www.xing.com/companies/leoniag" \t "_blank" </w:instrText>
      </w:r>
      <w:r>
        <w:fldChar w:fldCharType="separate"/>
      </w:r>
      <w:r>
        <w:pict w14:anchorId="6FE98929">
          <v:shape id="_x0000_i1026" type="#_x0000_t75" style="width:14pt;height:14pt" wrapcoords="-1137 0 -1137 20463 21600 20463 21600 0 -1137 0" o:allowoverlap="f" o:button="t">
            <v:imagedata r:id="rId11" o:title=""/>
          </v:shape>
        </w:pict>
      </w:r>
      <w:r>
        <w:fldChar w:fldCharType="end"/>
      </w:r>
    </w:p>
    <w:p w14:paraId="0CDAA10C" w14:textId="77777777" w:rsidR="00B351E3" w:rsidRPr="00541D3C" w:rsidRDefault="00B351E3" w:rsidP="0065356D">
      <w:pPr>
        <w:pStyle w:val="MMKurzprofilberschrift"/>
        <w:rPr>
          <w:lang w:val="en-US"/>
        </w:rPr>
        <w:sectPr w:rsidR="00B351E3" w:rsidRPr="00541D3C">
          <w:headerReference w:type="default" r:id="rId12"/>
          <w:footerReference w:type="default" r:id="rId13"/>
          <w:headerReference w:type="first" r:id="rId14"/>
          <w:footerReference w:type="first" r:id="rId15"/>
          <w:pgSz w:w="11900" w:h="16840" w:code="9"/>
          <w:pgMar w:top="2977" w:right="833" w:bottom="1701" w:left="1418" w:header="0" w:footer="742" w:gutter="0"/>
          <w:cols w:space="708"/>
        </w:sectPr>
      </w:pPr>
    </w:p>
    <w:p w14:paraId="3A6108C0" w14:textId="77777777"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14:paraId="37997ADA" w14:textId="77777777" w:rsidR="00744F2F" w:rsidRPr="00C85271" w:rsidRDefault="00744F2F" w:rsidP="004C4E56">
      <w:pPr>
        <w:pStyle w:val="MMKurzprofil"/>
      </w:pPr>
      <w:r w:rsidRPr="00C85271">
        <w:t>Sven Schmidt</w:t>
      </w:r>
    </w:p>
    <w:p w14:paraId="160AD384" w14:textId="77777777" w:rsidR="00744F2F" w:rsidRDefault="00744F2F" w:rsidP="004C4E56">
      <w:pPr>
        <w:pStyle w:val="MMKurzprofil"/>
      </w:pPr>
      <w:r w:rsidRPr="00C85271">
        <w:t>Corporate Public &amp; Media Relations</w:t>
      </w:r>
    </w:p>
    <w:p w14:paraId="38612C05" w14:textId="77777777" w:rsidR="00744F2F" w:rsidRPr="00C85271" w:rsidRDefault="00744F2F" w:rsidP="004C4E56">
      <w:pPr>
        <w:pStyle w:val="MMKurzprofil"/>
      </w:pPr>
      <w:r>
        <w:t>LEONI AG</w:t>
      </w:r>
    </w:p>
    <w:p w14:paraId="02E29715" w14:textId="77777777" w:rsidR="00744F2F" w:rsidRPr="00C85271" w:rsidRDefault="00744F2F" w:rsidP="004C4E56">
      <w:pPr>
        <w:pStyle w:val="MMKurzprofil"/>
      </w:pPr>
      <w:r w:rsidRPr="00C85271">
        <w:t>Phone</w:t>
      </w:r>
      <w:r w:rsidRPr="00C85271">
        <w:tab/>
        <w:t>+49 (0)911-2023-467</w:t>
      </w:r>
    </w:p>
    <w:p w14:paraId="49CABD3F" w14:textId="77777777" w:rsidR="00744F2F" w:rsidRPr="00C85271" w:rsidRDefault="00744F2F" w:rsidP="004C4E56">
      <w:pPr>
        <w:pStyle w:val="MMKurzprofil"/>
      </w:pPr>
      <w:r w:rsidRPr="00C85271">
        <w:t>Fax</w:t>
      </w:r>
      <w:r w:rsidRPr="00C85271">
        <w:tab/>
        <w:t>+49 (0)911-2023-231</w:t>
      </w:r>
    </w:p>
    <w:p w14:paraId="01CAF1B6" w14:textId="77777777" w:rsidR="00744F2F" w:rsidRPr="00744F2F" w:rsidRDefault="00744F2F" w:rsidP="004C4E56">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6" w:history="1">
        <w:r w:rsidRPr="00C85271">
          <w:rPr>
            <w:rStyle w:val="Link"/>
            <w:rFonts w:cs="Times New Roman"/>
            <w:szCs w:val="24"/>
            <w:lang w:val="en-GB"/>
          </w:rPr>
          <w:t>presse@leoni.com</w:t>
        </w:r>
      </w:hyperlink>
    </w:p>
    <w:sectPr w:rsidR="00744F2F" w:rsidRPr="00744F2F" w:rsidSect="00744F2F">
      <w:headerReference w:type="default" r:id="rId17"/>
      <w:footerReference w:type="default" r:id="rId18"/>
      <w:headerReference w:type="first" r:id="rId19"/>
      <w:footerReference w:type="first" r:id="rId20"/>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CC489" w14:textId="77777777" w:rsidR="008D540A" w:rsidRDefault="008D540A">
      <w:pPr>
        <w:rPr>
          <w:sz w:val="16"/>
        </w:rPr>
      </w:pPr>
      <w:r>
        <w:separator/>
      </w:r>
    </w:p>
  </w:endnote>
  <w:endnote w:type="continuationSeparator" w:id="0">
    <w:p w14:paraId="1900CB96" w14:textId="77777777"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5E0C92" w14:textId="77777777"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8E1AB7">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8E1AB7">
      <w:rPr>
        <w:rStyle w:val="Seitenzahl"/>
        <w:rFonts w:ascii="Arial" w:hAnsi="Arial"/>
        <w:i/>
        <w:noProof/>
        <w:sz w:val="16"/>
      </w:rPr>
      <w:t>5</w:t>
    </w:r>
    <w:r w:rsidR="00B351E3">
      <w:rPr>
        <w:rStyle w:val="Seitenzahl"/>
        <w:rFonts w:ascii="Arial" w:hAnsi="Arial"/>
        <w:i/>
        <w:noProof/>
        <w:sz w:val="16"/>
      </w:rPr>
      <w:fldChar w:fldCharType="end"/>
    </w:r>
    <w:r w:rsidR="00B351E3">
      <w:rPr>
        <w:rFonts w:ascii="Arial" w:hAnsi="Arial"/>
        <w:b/>
        <w:i/>
        <w:color w:val="004089"/>
        <w:sz w:val="12"/>
      </w:rPr>
      <w:tab/>
    </w:r>
  </w:p>
  <w:p w14:paraId="0A15233F" w14:textId="77777777"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DCA8A0" w14:textId="77777777"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5B3DF86F" w14:textId="77777777"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7370B355" w14:textId="77777777"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459CAB21" w14:textId="77777777"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265DF685" w14:textId="77777777"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7DC70482" w14:textId="77777777"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FDF643" w14:textId="77777777"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996B88">
      <w:rPr>
        <w:rStyle w:val="Seitenzahl"/>
        <w:rFonts w:ascii="Arial" w:hAnsi="Arial"/>
        <w:i/>
        <w:noProof/>
        <w:sz w:val="16"/>
      </w:rPr>
      <w:t>5</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8A31A7">
      <w:rPr>
        <w:rStyle w:val="Seitenzahl"/>
        <w:rFonts w:ascii="Arial" w:hAnsi="Arial"/>
        <w:i/>
        <w:noProof/>
        <w:sz w:val="16"/>
      </w:rPr>
      <w:t>5</w:t>
    </w:r>
    <w:r>
      <w:rPr>
        <w:rStyle w:val="Seitenzahl"/>
        <w:rFonts w:ascii="Arial" w:hAnsi="Arial"/>
        <w:i/>
        <w:noProof/>
        <w:sz w:val="16"/>
      </w:rPr>
      <w:fldChar w:fldCharType="end"/>
    </w:r>
    <w:r>
      <w:rPr>
        <w:rFonts w:ascii="Arial" w:hAnsi="Arial"/>
        <w:b/>
        <w:color w:val="004089"/>
        <w:sz w:val="12"/>
      </w:rPr>
      <w:tab/>
    </w:r>
  </w:p>
  <w:p w14:paraId="38DD5C41" w14:textId="77777777"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8D91B7" w14:textId="77777777"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6D1BFEEE" w14:textId="77777777"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660FEE6A" w14:textId="77777777"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0C3A3F63" w14:textId="77777777"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319E7B81" w14:textId="77777777"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27F4C2BB" w14:textId="77777777"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FEC31" w14:textId="77777777" w:rsidR="008D540A" w:rsidRDefault="008D540A">
      <w:pPr>
        <w:rPr>
          <w:sz w:val="16"/>
        </w:rPr>
      </w:pPr>
      <w:r>
        <w:separator/>
      </w:r>
    </w:p>
  </w:footnote>
  <w:footnote w:type="continuationSeparator" w:id="0">
    <w:p w14:paraId="02354464" w14:textId="77777777" w:rsidR="008D540A" w:rsidRDefault="008D540A">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44D3D0" w14:textId="77777777" w:rsidR="00B351E3" w:rsidRDefault="00B351E3">
    <w:pPr>
      <w:pStyle w:val="Kopfzeile"/>
      <w:tabs>
        <w:tab w:val="clear" w:pos="9072"/>
        <w:tab w:val="right" w:pos="9639"/>
      </w:tabs>
      <w:rPr>
        <w:rFonts w:ascii="Verdana" w:hAnsi="Verdana"/>
        <w:sz w:val="20"/>
      </w:rPr>
    </w:pPr>
  </w:p>
  <w:p w14:paraId="6E7EB132" w14:textId="77777777" w:rsidR="00B351E3" w:rsidRDefault="00B351E3">
    <w:pPr>
      <w:pStyle w:val="Kopfzeile"/>
      <w:tabs>
        <w:tab w:val="clear" w:pos="9072"/>
        <w:tab w:val="right" w:pos="9639"/>
      </w:tabs>
      <w:rPr>
        <w:rFonts w:ascii="Verdana" w:hAnsi="Verdana"/>
        <w:sz w:val="20"/>
      </w:rPr>
    </w:pPr>
  </w:p>
  <w:p w14:paraId="0D60B4D1" w14:textId="77777777" w:rsidR="00B351E3" w:rsidRDefault="008E1AB7">
    <w:pPr>
      <w:pStyle w:val="Kopfzeile"/>
      <w:tabs>
        <w:tab w:val="clear" w:pos="9072"/>
        <w:tab w:val="right" w:pos="9639"/>
      </w:tabs>
      <w:rPr>
        <w:rFonts w:ascii="Verdana" w:hAnsi="Verdana"/>
        <w:sz w:val="20"/>
      </w:rPr>
    </w:pPr>
    <w:r>
      <w:rPr>
        <w:noProof/>
        <w:snapToGrid/>
        <w:lang w:val="en-GB"/>
      </w:rPr>
      <w:pict w14:anchorId="73356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14:paraId="52056DE5" w14:textId="77777777" w:rsidR="00B351E3" w:rsidRDefault="00B351E3">
    <w:pPr>
      <w:spacing w:before="60" w:line="360" w:lineRule="auto"/>
      <w:ind w:right="1429"/>
      <w:rPr>
        <w:rFonts w:ascii="Arial" w:hAnsi="Arial"/>
        <w:b/>
        <w:sz w:val="20"/>
      </w:rPr>
    </w:pPr>
  </w:p>
  <w:p w14:paraId="3555DE55" w14:textId="77777777"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3A3F2B2F" w14:textId="77777777" w:rsidR="00B351E3" w:rsidRDefault="00B351E3">
    <w:pPr>
      <w:pStyle w:val="Kopfzeile"/>
      <w:tabs>
        <w:tab w:val="clear" w:pos="9072"/>
        <w:tab w:val="right" w:pos="9639"/>
      </w:tabs>
      <w:rPr>
        <w:rFonts w:ascii="Verdana" w:hAnsi="Verdana"/>
        <w:sz w:val="20"/>
      </w:rPr>
    </w:pPr>
  </w:p>
  <w:p w14:paraId="24688EC8" w14:textId="77777777" w:rsidR="00B351E3" w:rsidRDefault="00B351E3">
    <w:pPr>
      <w:pStyle w:val="Kopfzeile"/>
      <w:tabs>
        <w:tab w:val="clear" w:pos="9072"/>
        <w:tab w:val="right" w:pos="9639"/>
      </w:tabs>
      <w:rPr>
        <w:rFonts w:ascii="Verdana" w:hAnsi="Verdana"/>
        <w:sz w:val="20"/>
      </w:rPr>
    </w:pPr>
  </w:p>
  <w:p w14:paraId="5A3A46ED" w14:textId="77777777" w:rsidR="00B351E3" w:rsidRDefault="00B351E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88E07E" w14:textId="77777777" w:rsidR="00B351E3" w:rsidRDefault="00B351E3">
    <w:pPr>
      <w:pStyle w:val="Kopfzeile"/>
      <w:ind w:right="12"/>
      <w:rPr>
        <w:rFonts w:ascii="Verdana" w:hAnsi="Verdana"/>
        <w:sz w:val="20"/>
      </w:rPr>
    </w:pPr>
  </w:p>
  <w:p w14:paraId="0A192774" w14:textId="77777777" w:rsidR="00B351E3" w:rsidRDefault="00B351E3">
    <w:pPr>
      <w:pStyle w:val="Kopfzeile"/>
      <w:ind w:right="12"/>
      <w:rPr>
        <w:rFonts w:ascii="Verdana" w:hAnsi="Verdana"/>
        <w:sz w:val="20"/>
      </w:rPr>
    </w:pPr>
  </w:p>
  <w:p w14:paraId="020B5347" w14:textId="77777777" w:rsidR="00B351E3" w:rsidRDefault="00B351E3">
    <w:pPr>
      <w:pStyle w:val="Kopfzeile"/>
      <w:ind w:right="12"/>
      <w:rPr>
        <w:rFonts w:ascii="Verdana" w:hAnsi="Verdana"/>
        <w:sz w:val="20"/>
      </w:rPr>
    </w:pPr>
  </w:p>
  <w:p w14:paraId="07867EDF" w14:textId="77777777" w:rsidR="00B351E3" w:rsidRDefault="00B351E3">
    <w:pPr>
      <w:pStyle w:val="Kopfzeile"/>
      <w:ind w:right="12"/>
      <w:rPr>
        <w:rFonts w:ascii="Verdana" w:hAnsi="Verdana"/>
        <w:sz w:val="20"/>
      </w:rPr>
    </w:pPr>
  </w:p>
  <w:p w14:paraId="4DBDEDB5" w14:textId="77777777" w:rsidR="00B351E3" w:rsidRDefault="008E1AB7">
    <w:pPr>
      <w:pStyle w:val="Kopfzeile"/>
      <w:ind w:right="12"/>
      <w:rPr>
        <w:rFonts w:ascii="Verdana" w:hAnsi="Verdana"/>
        <w:sz w:val="20"/>
      </w:rPr>
    </w:pPr>
    <w:r>
      <w:rPr>
        <w:noProof/>
        <w:snapToGrid/>
        <w:lang w:val="en-GB"/>
      </w:rPr>
      <w:pict w14:anchorId="62C4B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14:paraId="0A55082C" w14:textId="77777777" w:rsidR="00B351E3" w:rsidRDefault="00B351E3">
    <w:pPr>
      <w:pStyle w:val="Kopfzeile"/>
      <w:ind w:right="12"/>
      <w:rPr>
        <w:rFonts w:ascii="Verdana" w:hAnsi="Verdana"/>
        <w:sz w:val="20"/>
      </w:rPr>
    </w:pPr>
  </w:p>
  <w:p w14:paraId="7B2738DA" w14:textId="77777777" w:rsidR="00B351E3" w:rsidRDefault="00B351E3">
    <w:pPr>
      <w:pStyle w:val="Kopfzeile"/>
      <w:ind w:right="12"/>
      <w:rPr>
        <w:rFonts w:ascii="Verdana" w:hAnsi="Verdana"/>
        <w:sz w:val="20"/>
      </w:rPr>
    </w:pPr>
  </w:p>
  <w:p w14:paraId="2ABCFE3B" w14:textId="77777777" w:rsidR="00B351E3" w:rsidRDefault="00B351E3">
    <w:pPr>
      <w:pStyle w:val="Kopfzeile"/>
      <w:ind w:right="12"/>
      <w:rPr>
        <w:rFonts w:ascii="Verdana" w:hAnsi="Verdana"/>
        <w:sz w:val="20"/>
      </w:rPr>
    </w:pPr>
  </w:p>
  <w:p w14:paraId="2F71DACD" w14:textId="77777777" w:rsidR="00B351E3" w:rsidRDefault="00B351E3">
    <w:pPr>
      <w:pStyle w:val="Kopfzeile"/>
      <w:ind w:right="12"/>
      <w:rPr>
        <w:rFonts w:ascii="Verdana" w:hAnsi="Verdana"/>
        <w:sz w:val="20"/>
      </w:rPr>
    </w:pPr>
  </w:p>
  <w:p w14:paraId="3DE3BB3F" w14:textId="77777777" w:rsidR="00B351E3" w:rsidRDefault="00B351E3">
    <w:pPr>
      <w:pStyle w:val="Kopfzeile"/>
      <w:ind w:right="12"/>
      <w:rPr>
        <w:rFonts w:ascii="Verdana" w:hAnsi="Verdana"/>
        <w:sz w:val="20"/>
      </w:rPr>
    </w:pPr>
  </w:p>
  <w:p w14:paraId="64933262" w14:textId="77777777"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B55172" w14:textId="77777777" w:rsidR="008F37D5" w:rsidRPr="00F17738" w:rsidRDefault="008E1AB7" w:rsidP="00F65C50">
    <w:pPr>
      <w:pStyle w:val="Kopfzeile"/>
      <w:tabs>
        <w:tab w:val="clear" w:pos="9072"/>
        <w:tab w:val="right" w:pos="9639"/>
      </w:tabs>
      <w:rPr>
        <w:rFonts w:ascii="Verdana" w:hAnsi="Verdana"/>
        <w:sz w:val="20"/>
      </w:rPr>
    </w:pPr>
  </w:p>
  <w:p w14:paraId="6B026F35" w14:textId="77777777" w:rsidR="008F37D5" w:rsidRDefault="008E1AB7" w:rsidP="00F65C50">
    <w:pPr>
      <w:pStyle w:val="Kopfzeile"/>
      <w:tabs>
        <w:tab w:val="clear" w:pos="9072"/>
        <w:tab w:val="right" w:pos="9639"/>
      </w:tabs>
      <w:rPr>
        <w:rFonts w:ascii="Verdana" w:hAnsi="Verdana"/>
        <w:sz w:val="20"/>
      </w:rPr>
    </w:pPr>
  </w:p>
  <w:p w14:paraId="57713A91" w14:textId="77777777" w:rsidR="008F37D5" w:rsidRPr="00F17738" w:rsidRDefault="008E1AB7" w:rsidP="00F65C50">
    <w:pPr>
      <w:pStyle w:val="Kopfzeile"/>
      <w:tabs>
        <w:tab w:val="clear" w:pos="9072"/>
        <w:tab w:val="right" w:pos="9639"/>
      </w:tabs>
      <w:rPr>
        <w:rFonts w:ascii="Verdana" w:hAnsi="Verdana"/>
        <w:sz w:val="20"/>
      </w:rPr>
    </w:pPr>
    <w:r>
      <w:rPr>
        <w:szCs w:val="20"/>
      </w:rPr>
      <w:pict w14:anchorId="30ADB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14:paraId="2DE09F53" w14:textId="77777777" w:rsidR="008F37D5" w:rsidRDefault="008E1AB7" w:rsidP="00F65C50">
    <w:pPr>
      <w:spacing w:before="60" w:line="360" w:lineRule="auto"/>
      <w:ind w:right="1429"/>
      <w:rPr>
        <w:rFonts w:ascii="Arial" w:hAnsi="Arial" w:cs="Arial"/>
        <w:b/>
        <w:sz w:val="20"/>
        <w:szCs w:val="20"/>
      </w:rPr>
    </w:pPr>
  </w:p>
  <w:p w14:paraId="1D4CF40B" w14:textId="77777777"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14:paraId="2C3B0903" w14:textId="77777777" w:rsidR="008F37D5" w:rsidRDefault="008E1AB7">
    <w:pPr>
      <w:pStyle w:val="Kopfzeile"/>
      <w:tabs>
        <w:tab w:val="clear" w:pos="9072"/>
        <w:tab w:val="right" w:pos="9639"/>
      </w:tabs>
      <w:rPr>
        <w:rFonts w:ascii="Verdana" w:hAnsi="Verdana"/>
        <w:sz w:val="20"/>
      </w:rPr>
    </w:pPr>
  </w:p>
  <w:p w14:paraId="6FD588B6" w14:textId="77777777" w:rsidR="008F37D5" w:rsidRDefault="008E1AB7">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736AF2" w14:textId="77777777" w:rsidR="008F37D5" w:rsidRDefault="008E1AB7">
    <w:pPr>
      <w:pStyle w:val="Kopfzeile"/>
      <w:ind w:right="12"/>
      <w:rPr>
        <w:rFonts w:ascii="Verdana" w:hAnsi="Verdana"/>
        <w:sz w:val="20"/>
      </w:rPr>
    </w:pPr>
  </w:p>
  <w:p w14:paraId="7DDA7D0F" w14:textId="77777777" w:rsidR="008F37D5" w:rsidRDefault="008E1AB7">
    <w:pPr>
      <w:pStyle w:val="Kopfzeile"/>
      <w:ind w:right="12"/>
      <w:rPr>
        <w:rFonts w:ascii="Verdana" w:hAnsi="Verdana"/>
        <w:sz w:val="20"/>
      </w:rPr>
    </w:pPr>
  </w:p>
  <w:p w14:paraId="41FC9CAA" w14:textId="77777777" w:rsidR="008F37D5" w:rsidRDefault="008E1AB7">
    <w:pPr>
      <w:pStyle w:val="Kopfzeile"/>
      <w:ind w:right="12"/>
      <w:rPr>
        <w:rFonts w:ascii="Verdana" w:hAnsi="Verdana"/>
        <w:sz w:val="20"/>
      </w:rPr>
    </w:pPr>
  </w:p>
  <w:p w14:paraId="1312F51C" w14:textId="77777777" w:rsidR="008F37D5" w:rsidRDefault="008E1AB7">
    <w:pPr>
      <w:pStyle w:val="Kopfzeile"/>
      <w:ind w:right="12"/>
      <w:rPr>
        <w:rFonts w:ascii="Verdana" w:hAnsi="Verdana"/>
        <w:sz w:val="20"/>
      </w:rPr>
    </w:pPr>
  </w:p>
  <w:p w14:paraId="5951F45C" w14:textId="77777777" w:rsidR="008F37D5" w:rsidRDefault="008E1AB7">
    <w:pPr>
      <w:pStyle w:val="Kopfzeile"/>
      <w:ind w:right="12"/>
      <w:rPr>
        <w:rFonts w:ascii="Verdana" w:hAnsi="Verdana"/>
        <w:sz w:val="20"/>
      </w:rPr>
    </w:pPr>
    <w:r>
      <w:rPr>
        <w:rFonts w:ascii="Calibri" w:hAnsi="Calibri"/>
        <w:noProof/>
        <w:sz w:val="22"/>
        <w:lang w:val="en-GB"/>
      </w:rPr>
      <w:pict w14:anchorId="13810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14:paraId="38184850" w14:textId="77777777" w:rsidR="008F37D5" w:rsidRDefault="008E1AB7">
    <w:pPr>
      <w:pStyle w:val="Kopfzeile"/>
      <w:ind w:right="12"/>
      <w:rPr>
        <w:rFonts w:ascii="Verdana" w:hAnsi="Verdana"/>
        <w:sz w:val="20"/>
      </w:rPr>
    </w:pPr>
  </w:p>
  <w:p w14:paraId="169AE534" w14:textId="77777777" w:rsidR="008F37D5" w:rsidRDefault="008E1AB7">
    <w:pPr>
      <w:pStyle w:val="Kopfzeile"/>
      <w:ind w:right="12"/>
      <w:rPr>
        <w:rFonts w:ascii="Verdana" w:hAnsi="Verdana"/>
        <w:sz w:val="20"/>
      </w:rPr>
    </w:pPr>
  </w:p>
  <w:p w14:paraId="4F57C1F3" w14:textId="77777777" w:rsidR="008F37D5" w:rsidRDefault="008E1AB7">
    <w:pPr>
      <w:pStyle w:val="Kopfzeile"/>
      <w:ind w:right="12"/>
      <w:rPr>
        <w:rFonts w:ascii="Verdana" w:hAnsi="Verdana"/>
        <w:sz w:val="20"/>
      </w:rPr>
    </w:pPr>
  </w:p>
  <w:p w14:paraId="74B85ABF" w14:textId="77777777" w:rsidR="008F37D5" w:rsidRDefault="008E1AB7">
    <w:pPr>
      <w:pStyle w:val="Kopfzeile"/>
      <w:ind w:right="12"/>
      <w:rPr>
        <w:rFonts w:ascii="Verdana" w:hAnsi="Verdana"/>
        <w:sz w:val="20"/>
      </w:rPr>
    </w:pPr>
  </w:p>
  <w:p w14:paraId="5F7E3890" w14:textId="77777777" w:rsidR="008F37D5" w:rsidRDefault="008E1AB7">
    <w:pPr>
      <w:pStyle w:val="Kopfzeile"/>
      <w:ind w:right="12"/>
      <w:rPr>
        <w:rFonts w:ascii="Verdana" w:hAnsi="Verdana"/>
        <w:sz w:val="20"/>
      </w:rPr>
    </w:pPr>
  </w:p>
  <w:p w14:paraId="084CCACD" w14:textId="77777777" w:rsidR="008F37D5" w:rsidRDefault="008E1AB7">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345B3473"/>
    <w:multiLevelType w:val="hybridMultilevel"/>
    <w:tmpl w:val="83B89CE4"/>
    <w:lvl w:ilvl="0" w:tplc="04070015">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15ED2"/>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77ABA"/>
    <w:rsid w:val="00287481"/>
    <w:rsid w:val="002929B6"/>
    <w:rsid w:val="002956A9"/>
    <w:rsid w:val="0029603C"/>
    <w:rsid w:val="002A6734"/>
    <w:rsid w:val="002B325C"/>
    <w:rsid w:val="002B7AC7"/>
    <w:rsid w:val="002B7BFA"/>
    <w:rsid w:val="002C118D"/>
    <w:rsid w:val="002C4CFD"/>
    <w:rsid w:val="002C6631"/>
    <w:rsid w:val="002C7555"/>
    <w:rsid w:val="003118F1"/>
    <w:rsid w:val="00314028"/>
    <w:rsid w:val="00320044"/>
    <w:rsid w:val="003278B3"/>
    <w:rsid w:val="00327B0A"/>
    <w:rsid w:val="00361CF2"/>
    <w:rsid w:val="00362050"/>
    <w:rsid w:val="003627B5"/>
    <w:rsid w:val="00364DCD"/>
    <w:rsid w:val="00382198"/>
    <w:rsid w:val="003941E2"/>
    <w:rsid w:val="00397A3F"/>
    <w:rsid w:val="00397AC4"/>
    <w:rsid w:val="003B5CB6"/>
    <w:rsid w:val="003C6AAE"/>
    <w:rsid w:val="003D2799"/>
    <w:rsid w:val="003E43B4"/>
    <w:rsid w:val="003E4B96"/>
    <w:rsid w:val="003F74D0"/>
    <w:rsid w:val="00404468"/>
    <w:rsid w:val="00432245"/>
    <w:rsid w:val="004376F3"/>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C4E56"/>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591"/>
    <w:rsid w:val="00543C34"/>
    <w:rsid w:val="005448AB"/>
    <w:rsid w:val="00547D6D"/>
    <w:rsid w:val="005727AC"/>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1D85"/>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22B0"/>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54C3B"/>
    <w:rsid w:val="00763E80"/>
    <w:rsid w:val="00765E37"/>
    <w:rsid w:val="00772C01"/>
    <w:rsid w:val="007747B6"/>
    <w:rsid w:val="00783A5E"/>
    <w:rsid w:val="007864F1"/>
    <w:rsid w:val="00786FF2"/>
    <w:rsid w:val="00791E09"/>
    <w:rsid w:val="00793171"/>
    <w:rsid w:val="007C3759"/>
    <w:rsid w:val="007C6329"/>
    <w:rsid w:val="007D37B7"/>
    <w:rsid w:val="007D7D60"/>
    <w:rsid w:val="007F0597"/>
    <w:rsid w:val="007F3212"/>
    <w:rsid w:val="007F506F"/>
    <w:rsid w:val="008045E1"/>
    <w:rsid w:val="00821BA4"/>
    <w:rsid w:val="0083522C"/>
    <w:rsid w:val="008446CD"/>
    <w:rsid w:val="008502D1"/>
    <w:rsid w:val="0085194D"/>
    <w:rsid w:val="00883645"/>
    <w:rsid w:val="008920B0"/>
    <w:rsid w:val="008A31A7"/>
    <w:rsid w:val="008B0AD0"/>
    <w:rsid w:val="008B1883"/>
    <w:rsid w:val="008B53D6"/>
    <w:rsid w:val="008D26BA"/>
    <w:rsid w:val="008D540A"/>
    <w:rsid w:val="008D6717"/>
    <w:rsid w:val="008E1AB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96B8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96E93"/>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E572C"/>
    <w:rsid w:val="00D000D7"/>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84C9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F71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link w:val="FuzeileZeichen"/>
    <w:semiHidden/>
    <w:pPr>
      <w:tabs>
        <w:tab w:val="center" w:pos="4536"/>
        <w:tab w:val="right" w:pos="9072"/>
      </w:tabs>
    </w:pPr>
  </w:style>
  <w:style w:type="character" w:styleId="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Gesichtet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eichen">
    <w:name w:val="Kopfzeile Zeichen"/>
    <w:link w:val="Kopfzeile"/>
    <w:rsid w:val="00744F2F"/>
    <w:rPr>
      <w:snapToGrid w:val="0"/>
      <w:sz w:val="24"/>
      <w:szCs w:val="24"/>
      <w:lang w:eastAsia="en-GB"/>
    </w:rPr>
  </w:style>
  <w:style w:type="character" w:customStyle="1" w:styleId="FuzeileZeichen">
    <w:name w:val="Fußzeile Zeichen"/>
    <w:link w:val="Fuzeile"/>
    <w:semiHidden/>
    <w:rsid w:val="00744F2F"/>
    <w:rPr>
      <w:snapToGrid w:val="0"/>
      <w:sz w:val="24"/>
      <w:szCs w:val="24"/>
      <w:lang w:eastAsia="en-GB"/>
    </w:rPr>
  </w:style>
  <w:style w:type="paragraph" w:styleId="Listenabsatz">
    <w:name w:val="List Paragraph"/>
    <w:basedOn w:val="Standard"/>
    <w:uiPriority w:val="99"/>
    <w:qFormat/>
    <w:rsid w:val="00996B88"/>
    <w:pPr>
      <w:ind w:left="720"/>
      <w:contextualSpacing/>
    </w:pPr>
    <w:rPr>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oni.com/en/financial-publications/" TargetMode="Externa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yperlink" Target="mailto:presse@leoni.com" TargetMode="Externa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oni.com/en/press/releases/details/leoni-again-invests-heavily-in-global-expan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8247</Characters>
  <Application>Microsoft Macintosh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9537</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Bastian Braeu</cp:lastModifiedBy>
  <cp:revision>9</cp:revision>
  <cp:lastPrinted>2015-03-16T15:43:00Z</cp:lastPrinted>
  <dcterms:created xsi:type="dcterms:W3CDTF">2015-03-16T09:51:00Z</dcterms:created>
  <dcterms:modified xsi:type="dcterms:W3CDTF">2015-03-24T08:08:00Z</dcterms:modified>
</cp:coreProperties>
</file>