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6E8E" w14:textId="0C4CFD60" w:rsidR="006E0029" w:rsidRPr="00441012" w:rsidRDefault="00E436DA" w:rsidP="00D47FA5">
      <w:pPr>
        <w:pStyle w:val="MMU1"/>
      </w:pPr>
      <w:r>
        <w:t xml:space="preserve">Leoni </w:t>
      </w:r>
      <w:r w:rsidR="00313CD5">
        <w:t xml:space="preserve">investiert </w:t>
      </w:r>
      <w:r w:rsidR="007D4BEC">
        <w:t xml:space="preserve">nochmals </w:t>
      </w:r>
      <w:r w:rsidR="00313CD5">
        <w:t>kräftig in globale</w:t>
      </w:r>
      <w:r w:rsidR="007D4BEC">
        <w:t xml:space="preserve"> Expansion</w:t>
      </w:r>
      <w:r w:rsidR="001D2CDB" w:rsidRPr="00441012">
        <w:t xml:space="preserve"> </w:t>
      </w:r>
    </w:p>
    <w:p w14:paraId="4CAC1B8C" w14:textId="6B63E682" w:rsidR="003F74D0" w:rsidRPr="006F0BE8" w:rsidRDefault="00027F25" w:rsidP="006F0BE8">
      <w:pPr>
        <w:pStyle w:val="MMU2"/>
      </w:pPr>
      <w:r>
        <w:t xml:space="preserve">Geschäftsjahr </w:t>
      </w:r>
      <w:r w:rsidR="006B37F1">
        <w:t>201</w:t>
      </w:r>
      <w:r>
        <w:t>4</w:t>
      </w:r>
      <w:r w:rsidR="006B37F1">
        <w:t xml:space="preserve"> </w:t>
      </w:r>
      <w:r w:rsidR="00313CD5">
        <w:t>mit Umsatz- und Ergebniszuwachs</w:t>
      </w:r>
      <w:r>
        <w:t xml:space="preserve"> </w:t>
      </w:r>
    </w:p>
    <w:p w14:paraId="01A99B29" w14:textId="06A8BB15"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027F25">
        <w:t>17</w:t>
      </w:r>
      <w:r w:rsidRPr="009A1070">
        <w:t>. M</w:t>
      </w:r>
      <w:r w:rsidR="00E436DA">
        <w:t>ärz</w:t>
      </w:r>
      <w:r w:rsidRPr="009A1070">
        <w:t xml:space="preserve"> 20</w:t>
      </w:r>
      <w:r>
        <w:t>1</w:t>
      </w:r>
      <w:r w:rsidR="00027F25">
        <w:t>5</w:t>
      </w:r>
      <w:r w:rsidRPr="009A1070">
        <w:t xml:space="preserve"> – </w:t>
      </w:r>
      <w:r>
        <w:t>Leoni</w:t>
      </w:r>
      <w:r w:rsidR="00420BD0">
        <w:t>,</w:t>
      </w:r>
      <w:r w:rsidR="00FF1DCB">
        <w:t xml:space="preserve"> </w:t>
      </w:r>
      <w:r w:rsidR="00420BD0">
        <w:t>de</w:t>
      </w:r>
      <w:r w:rsidR="00027F25">
        <w:t>r</w:t>
      </w:r>
      <w:r w:rsidR="00420BD0">
        <w:t xml:space="preserve"> </w:t>
      </w:r>
      <w:r w:rsidR="00420BD0" w:rsidRPr="0099285A">
        <w:t xml:space="preserve">führende </w:t>
      </w:r>
      <w:r w:rsidR="00420BD0">
        <w:t xml:space="preserve">europäische Anbieter von </w:t>
      </w:r>
      <w:r w:rsidR="00420BD0" w:rsidRPr="0099285A">
        <w:t>Kabel</w:t>
      </w:r>
      <w:r w:rsidR="00420BD0">
        <w:t>n und Kabels</w:t>
      </w:r>
      <w:r w:rsidR="00420BD0" w:rsidRPr="0099285A">
        <w:t>ystem</w:t>
      </w:r>
      <w:r w:rsidR="00420BD0">
        <w:t>en</w:t>
      </w:r>
      <w:r w:rsidR="00420BD0" w:rsidRPr="0099285A">
        <w:t xml:space="preserve"> für die Automobil</w:t>
      </w:r>
      <w:r w:rsidR="00420BD0">
        <w:t>branche</w:t>
      </w:r>
      <w:r w:rsidR="00420BD0" w:rsidRPr="0099285A">
        <w:t xml:space="preserve"> und weitere Industrien</w:t>
      </w:r>
      <w:r w:rsidR="00420BD0">
        <w:t xml:space="preserve">, </w:t>
      </w:r>
      <w:r w:rsidR="00027F25">
        <w:t xml:space="preserve">hat im </w:t>
      </w:r>
      <w:r w:rsidR="004A2754">
        <w:t>G</w:t>
      </w:r>
      <w:r w:rsidR="00420BD0">
        <w:t>eschäftsjahr 201</w:t>
      </w:r>
      <w:r w:rsidR="00027F25">
        <w:t xml:space="preserve">4 sowohl Umsatz als auch Gewinn gesteigert. Auf Basis einer weiterhin </w:t>
      </w:r>
      <w:r w:rsidR="00212EE8">
        <w:t xml:space="preserve">hohen Nachfrage aus der Automobilindustrie und einer konjunkturellen Belebung in wichtigen Industriebranchen kletterten die Erlöse des Konzerns plankonform um fast 5 Prozent auf 4,1 Mrd. Euro (2013: </w:t>
      </w:r>
      <w:r w:rsidR="004A2754" w:rsidRPr="00BA6E64">
        <w:t>3,92 Mrd. Euro)</w:t>
      </w:r>
      <w:r w:rsidR="0067639A">
        <w:t xml:space="preserve">. Sie </w:t>
      </w:r>
      <w:r w:rsidR="00212EE8">
        <w:t xml:space="preserve">erreichten damit </w:t>
      </w:r>
      <w:r w:rsidR="004A2754">
        <w:t>einen neuen Höchstwert.</w:t>
      </w:r>
      <w:r w:rsidR="00CA02F5">
        <w:t xml:space="preserve"> </w:t>
      </w:r>
      <w:r w:rsidR="00FF1DCB">
        <w:t>D</w:t>
      </w:r>
      <w:r w:rsidR="00CA02F5">
        <w:t xml:space="preserve">as </w:t>
      </w:r>
      <w:r w:rsidR="00FF1DCB">
        <w:t xml:space="preserve">Ergebnis vor Zinsen und Steuern (EBIT) </w:t>
      </w:r>
      <w:r w:rsidR="00212EE8">
        <w:t xml:space="preserve">stieg wegen starker Sonderbelastungen nur um 12 Prozent von </w:t>
      </w:r>
      <w:r w:rsidR="00CA02F5">
        <w:t xml:space="preserve">163,1 Mio. Euro </w:t>
      </w:r>
      <w:r w:rsidR="00212EE8">
        <w:t xml:space="preserve">im Vorjahr auf aktuell 182,5 Mio. Euro. </w:t>
      </w:r>
      <w:r w:rsidR="00FF1DCB">
        <w:t xml:space="preserve">Der </w:t>
      </w:r>
      <w:r w:rsidR="0049418D" w:rsidRPr="008C2253">
        <w:t>Konzernüberschuss</w:t>
      </w:r>
      <w:r w:rsidR="00FF1DCB" w:rsidRPr="008C2253">
        <w:t xml:space="preserve"> </w:t>
      </w:r>
      <w:r w:rsidR="00025061">
        <w:t xml:space="preserve">erhöhte sich </w:t>
      </w:r>
      <w:r w:rsidR="00212EE8">
        <w:t xml:space="preserve">auf 115,1 Mio. Euro </w:t>
      </w:r>
      <w:r w:rsidR="00025061">
        <w:t xml:space="preserve">(2013: </w:t>
      </w:r>
      <w:r w:rsidR="00862325">
        <w:t xml:space="preserve">105,9 </w:t>
      </w:r>
      <w:r w:rsidR="003237A6" w:rsidRPr="008C2253">
        <w:t>Mio. Euro</w:t>
      </w:r>
      <w:r w:rsidR="009A48B0" w:rsidRPr="008C2253">
        <w:t>).</w:t>
      </w:r>
      <w:r w:rsidR="0049418D" w:rsidRPr="008C2253">
        <w:t xml:space="preserve"> </w:t>
      </w:r>
      <w:r w:rsidR="004803C6">
        <w:t>Das Unternehmen</w:t>
      </w:r>
      <w:r w:rsidR="00D6261E">
        <w:t xml:space="preserve"> beabsichtigt, eine Dividende von 1</w:t>
      </w:r>
      <w:r w:rsidR="00025061">
        <w:t>,20</w:t>
      </w:r>
      <w:r w:rsidR="00D6261E">
        <w:t xml:space="preserve"> Euro (Vorjahr: </w:t>
      </w:r>
      <w:r w:rsidR="00AE1DF1">
        <w:t>1,</w:t>
      </w:r>
      <w:r w:rsidR="00B653FB">
        <w:t>0</w:t>
      </w:r>
      <w:r w:rsidR="00D6261E">
        <w:t>0 Euro)</w:t>
      </w:r>
      <w:r w:rsidR="00025061">
        <w:t xml:space="preserve"> pro Aktie</w:t>
      </w:r>
      <w:r w:rsidR="00D6261E">
        <w:t xml:space="preserve"> auszuschütten.</w:t>
      </w:r>
    </w:p>
    <w:p w14:paraId="2A9731F8" w14:textId="121DD18C" w:rsidR="00BE78C2" w:rsidRDefault="00793DE9" w:rsidP="0094334C">
      <w:pPr>
        <w:pStyle w:val="MMFlietext"/>
        <w:rPr>
          <w:b/>
        </w:rPr>
      </w:pPr>
      <w:r>
        <w:t>„</w:t>
      </w:r>
      <w:r w:rsidR="00025061">
        <w:t xml:space="preserve">Im Geschäftsjahr 2014 hat </w:t>
      </w:r>
      <w:r w:rsidR="00862325">
        <w:t xml:space="preserve">Leoni </w:t>
      </w:r>
      <w:r w:rsidR="00025061">
        <w:t>wiederum einen Umsatzrekord aufgestellt und dabei insbesondere außer</w:t>
      </w:r>
      <w:r w:rsidR="0094334C">
        <w:t>halb Europas zugelegt</w:t>
      </w:r>
      <w:r w:rsidR="00560E65">
        <w:t>“, sagt Dr. Klaus Probst, Vorstandsvorsitzender der Leoni AG, anlässlich der Bilanzpressekonferenz de</w:t>
      </w:r>
      <w:r w:rsidR="004803C6">
        <w:t>r</w:t>
      </w:r>
      <w:r w:rsidR="00560E65">
        <w:t xml:space="preserve"> Unternehmens</w:t>
      </w:r>
      <w:r w:rsidR="004803C6">
        <w:t>gruppe</w:t>
      </w:r>
      <w:r w:rsidR="00560E65">
        <w:t>. „</w:t>
      </w:r>
      <w:r w:rsidR="00025061">
        <w:t xml:space="preserve">Andererseits </w:t>
      </w:r>
      <w:r w:rsidR="0094334C">
        <w:t xml:space="preserve">konnten wir wegen außerplanmäßiger Sonderaufwendungen </w:t>
      </w:r>
      <w:r w:rsidR="00025061">
        <w:t xml:space="preserve">im operativen Geschäft </w:t>
      </w:r>
      <w:r w:rsidR="0094334C">
        <w:t xml:space="preserve">unsere Rendite nicht im ursprünglich erwarteten Maße </w:t>
      </w:r>
      <w:r w:rsidR="00E51DA4">
        <w:t>verbessern</w:t>
      </w:r>
      <w:r w:rsidR="0094334C">
        <w:t xml:space="preserve">.“ </w:t>
      </w:r>
    </w:p>
    <w:p w14:paraId="62A7DCFB" w14:textId="32E282E1" w:rsidR="006B37F1" w:rsidRPr="008B1883" w:rsidRDefault="006B37F1" w:rsidP="006B37F1">
      <w:pPr>
        <w:pStyle w:val="MMZwischenberschrift"/>
      </w:pPr>
      <w:r>
        <w:t xml:space="preserve">WSD: </w:t>
      </w:r>
      <w:r w:rsidR="006E40AC">
        <w:t>Marktposition in China weiter ausgebaut</w:t>
      </w:r>
    </w:p>
    <w:p w14:paraId="38A02A3D" w14:textId="0A63CA1D" w:rsidR="00006355" w:rsidRDefault="006B37F1" w:rsidP="006B37F1">
      <w:pPr>
        <w:pStyle w:val="MMFlietext"/>
      </w:pPr>
      <w:r>
        <w:t xml:space="preserve">Der </w:t>
      </w:r>
      <w:r w:rsidRPr="00240866">
        <w:t xml:space="preserve">Unternehmensbereich </w:t>
      </w:r>
      <w:proofErr w:type="spellStart"/>
      <w:r w:rsidRPr="00240866">
        <w:t>Wiring</w:t>
      </w:r>
      <w:proofErr w:type="spellEnd"/>
      <w:r w:rsidRPr="00240866">
        <w:t xml:space="preserve"> Systems </w:t>
      </w:r>
      <w:r>
        <w:t xml:space="preserve">(WSD) konnte </w:t>
      </w:r>
      <w:r w:rsidR="00964044">
        <w:t xml:space="preserve">den Umsatz </w:t>
      </w:r>
      <w:r>
        <w:t xml:space="preserve">im Berichtsjahr </w:t>
      </w:r>
      <w:r w:rsidRPr="006C5B9E">
        <w:t xml:space="preserve">auf </w:t>
      </w:r>
      <w:r w:rsidR="006E40AC">
        <w:t xml:space="preserve">2.399,6 Mio. Euro (2013: </w:t>
      </w:r>
      <w:r>
        <w:t>2.321,0 Mio. Euro</w:t>
      </w:r>
      <w:r w:rsidR="006E40AC">
        <w:t xml:space="preserve">) </w:t>
      </w:r>
      <w:r>
        <w:t>steigern.</w:t>
      </w:r>
      <w:r w:rsidR="00AF1913">
        <w:t xml:space="preserve"> </w:t>
      </w:r>
      <w:r w:rsidR="006E40AC">
        <w:t xml:space="preserve">Wesentliche Stütze war erneut das Geschäft mit </w:t>
      </w:r>
      <w:r w:rsidR="00AF1913">
        <w:t xml:space="preserve">der exportstarken deutschen Automobilindustrie. </w:t>
      </w:r>
      <w:r w:rsidR="006E40AC">
        <w:t>Auch die internationale Nutzfahrzeugindustrie hat ver</w:t>
      </w:r>
      <w:r w:rsidR="00EA565B">
        <w:t>mehr</w:t>
      </w:r>
      <w:r w:rsidR="006E40AC">
        <w:t xml:space="preserve">t </w:t>
      </w:r>
      <w:r w:rsidR="00AF1913">
        <w:t xml:space="preserve">Kabelsätze </w:t>
      </w:r>
      <w:r w:rsidR="006E40AC">
        <w:t>nachgefragt</w:t>
      </w:r>
      <w:r w:rsidR="00EA565B">
        <w:t>; m</w:t>
      </w:r>
      <w:r w:rsidR="006E40AC">
        <w:t xml:space="preserve">it </w:t>
      </w:r>
      <w:proofErr w:type="spellStart"/>
      <w:r w:rsidR="006E40AC" w:rsidRPr="006E40AC">
        <w:t>Scania</w:t>
      </w:r>
      <w:proofErr w:type="spellEnd"/>
      <w:r w:rsidR="006E40AC" w:rsidRPr="006E40AC">
        <w:t xml:space="preserve"> als neuem Abnehmer zählt Leoni nun </w:t>
      </w:r>
      <w:r w:rsidR="00B30C8C">
        <w:t xml:space="preserve">die führenden </w:t>
      </w:r>
      <w:r w:rsidR="006E40AC" w:rsidRPr="006E40AC">
        <w:t>europäischen Lkw-Hersteller zu seinem Kundenstamm.</w:t>
      </w:r>
      <w:r w:rsidR="006E40AC">
        <w:t xml:space="preserve"> Erfreulich entwick</w:t>
      </w:r>
      <w:r w:rsidR="00006355">
        <w:t>e</w:t>
      </w:r>
      <w:r w:rsidR="006E40AC">
        <w:t xml:space="preserve">lte sich </w:t>
      </w:r>
      <w:r w:rsidR="00006355">
        <w:t xml:space="preserve">außerdem das Geschäftsfeld Elektromobilität, das in den </w:t>
      </w:r>
      <w:r w:rsidR="00006355">
        <w:lastRenderedPageBreak/>
        <w:t xml:space="preserve">kommenden drei Jahren rund ein Dutzend neue </w:t>
      </w:r>
      <w:r w:rsidR="00210A16">
        <w:t xml:space="preserve">alternativ angetriebene </w:t>
      </w:r>
      <w:r w:rsidR="00006355">
        <w:t>Fahrzeuge</w:t>
      </w:r>
      <w:r w:rsidR="00210A16">
        <w:t xml:space="preserve"> </w:t>
      </w:r>
      <w:r w:rsidR="00EA565B">
        <w:t xml:space="preserve">erstmals </w:t>
      </w:r>
      <w:r w:rsidR="00006355">
        <w:t>mit Hochvolt-Produkten beliefern wird.</w:t>
      </w:r>
    </w:p>
    <w:p w14:paraId="62E2A167" w14:textId="47B88B6F" w:rsidR="000B763A" w:rsidRDefault="00006355" w:rsidP="00006355">
      <w:pPr>
        <w:pStyle w:val="MMFlietext"/>
      </w:pPr>
      <w:r>
        <w:t xml:space="preserve">In China </w:t>
      </w:r>
      <w:r w:rsidR="00210A16">
        <w:t xml:space="preserve">hat </w:t>
      </w:r>
      <w:r>
        <w:t xml:space="preserve">der Unternehmensbereich </w:t>
      </w:r>
      <w:r w:rsidR="00210A16">
        <w:t xml:space="preserve">2014 </w:t>
      </w:r>
      <w:r>
        <w:t xml:space="preserve">weitere Fortschritte </w:t>
      </w:r>
      <w:r w:rsidR="00210A16">
        <w:t xml:space="preserve">gemacht. Ein neu gebautes </w:t>
      </w:r>
      <w:r>
        <w:t>Werk i</w:t>
      </w:r>
      <w:r w:rsidR="00210A16">
        <w:t xml:space="preserve">m Nordosten des Landes wird ab Ende dieses Jahres einen deutschen </w:t>
      </w:r>
      <w:r w:rsidR="00B653FB">
        <w:t>Premiumh</w:t>
      </w:r>
      <w:r w:rsidR="00210A16">
        <w:t>ersteller mit Bordnetz</w:t>
      </w:r>
      <w:r w:rsidR="0067639A">
        <w:t>-System</w:t>
      </w:r>
      <w:r w:rsidR="00210A16">
        <w:t xml:space="preserve">en versorgen. Weiterhin ist es gelungen, von </w:t>
      </w:r>
      <w:r w:rsidR="00E51DA4">
        <w:t xml:space="preserve">den zwei </w:t>
      </w:r>
      <w:r w:rsidR="00210A16">
        <w:t xml:space="preserve">bedeutenden </w:t>
      </w:r>
      <w:r w:rsidR="00B653FB">
        <w:t>asiatischen</w:t>
      </w:r>
      <w:r w:rsidR="00210A16">
        <w:t xml:space="preserve"> </w:t>
      </w:r>
      <w:r w:rsidR="00B653FB">
        <w:t>Fahrzeugp</w:t>
      </w:r>
      <w:r w:rsidR="00210A16">
        <w:t xml:space="preserve">roduzenten </w:t>
      </w:r>
      <w:r w:rsidR="00E51DA4">
        <w:t xml:space="preserve">Hyundai und </w:t>
      </w:r>
      <w:proofErr w:type="spellStart"/>
      <w:r w:rsidR="00E51DA4">
        <w:t>Geely</w:t>
      </w:r>
      <w:proofErr w:type="spellEnd"/>
      <w:r w:rsidR="00E51DA4">
        <w:t xml:space="preserve"> </w:t>
      </w:r>
      <w:r w:rsidR="00210A16">
        <w:t>Erstauftr</w:t>
      </w:r>
      <w:r w:rsidR="00E51DA4">
        <w:t>äge</w:t>
      </w:r>
      <w:r w:rsidR="00210A16">
        <w:t xml:space="preserve"> zu </w:t>
      </w:r>
      <w:r w:rsidR="00E51DA4">
        <w:t xml:space="preserve">gewinnen </w:t>
      </w:r>
      <w:r w:rsidR="00210A16">
        <w:t xml:space="preserve">und damit die Wettbewerbsposition </w:t>
      </w:r>
      <w:r>
        <w:t>im weltweit größten Automobilmarkt</w:t>
      </w:r>
      <w:r w:rsidR="00210A16">
        <w:t xml:space="preserve"> auszubauen. </w:t>
      </w:r>
    </w:p>
    <w:p w14:paraId="5B2A4273" w14:textId="0259E24E" w:rsidR="00B653FB" w:rsidRDefault="00210A16" w:rsidP="006B37F1">
      <w:pPr>
        <w:pStyle w:val="MMFlietext"/>
      </w:pPr>
      <w:r>
        <w:t xml:space="preserve">Auch in </w:t>
      </w:r>
      <w:r w:rsidR="0067639A">
        <w:t xml:space="preserve">der Region </w:t>
      </w:r>
      <w:r>
        <w:t>Amerika sind die Kapazitäten im Berichtsjahr deutlich erweitert worden.</w:t>
      </w:r>
      <w:r w:rsidR="000B763A">
        <w:t xml:space="preserve"> </w:t>
      </w:r>
      <w:r>
        <w:t xml:space="preserve">Hier kam es im Rahmen </w:t>
      </w:r>
      <w:r w:rsidR="000B763A">
        <w:t>des A</w:t>
      </w:r>
      <w:r>
        <w:t xml:space="preserve">nlaufs </w:t>
      </w:r>
      <w:r w:rsidR="00B653FB">
        <w:t xml:space="preserve">eines Großprojektes </w:t>
      </w:r>
      <w:r>
        <w:t xml:space="preserve">jedoch zu </w:t>
      </w:r>
      <w:r w:rsidR="000B763A">
        <w:t>unerwartet großem Personalbedarf, hohen Ausschussquoten sowie erheblichen Luftfrachtkosten. Das Ergebnis des zweiten und dritten Quartals</w:t>
      </w:r>
      <w:r w:rsidR="00EA565B">
        <w:t xml:space="preserve"> war</w:t>
      </w:r>
      <w:r w:rsidR="000B763A">
        <w:t xml:space="preserve"> deswegen mit insgesamt rund 15 Mio. Euro belastet. Das vierte Quartal verlief diesbezüglich wieder plankonform. Weiterhin hatte die Umstellung auf die neue Euro-6-Norm in der Nutzfahrzeugindustrie aufgrund der gestiegenen Komplexität der verwendeten Kabelsätze außerplanmäßige Kosten verursacht. </w:t>
      </w:r>
    </w:p>
    <w:p w14:paraId="03C2D225" w14:textId="6140C79A" w:rsidR="006B37F1" w:rsidRDefault="00B653FB" w:rsidP="006B37F1">
      <w:pPr>
        <w:pStyle w:val="MMFlietext"/>
      </w:pPr>
      <w:r>
        <w:t>In Europa</w:t>
      </w:r>
      <w:r w:rsidR="000B763A">
        <w:t xml:space="preserve"> wirkten sich der Verfall des Rubels und das schwächere Russlandgeschäft negativ auf die Ertragslage aus. </w:t>
      </w:r>
      <w:r w:rsidR="000A50AC">
        <w:t>Folglich ging das Bereichs-EBIT um rund 10 Prozent auf 104,6 Mio. Euro (2013: 116,1 Mio. Euro) zurück.</w:t>
      </w:r>
      <w:r w:rsidR="00964044">
        <w:t xml:space="preserve"> </w:t>
      </w:r>
    </w:p>
    <w:p w14:paraId="64048E4F" w14:textId="23BE5493" w:rsidR="00E436DA" w:rsidRPr="008B1883" w:rsidRDefault="00E436DA" w:rsidP="00E436DA">
      <w:pPr>
        <w:pStyle w:val="MMZwischenberschrift"/>
      </w:pPr>
      <w:r>
        <w:t>WCS:</w:t>
      </w:r>
      <w:r w:rsidR="00964044">
        <w:t xml:space="preserve"> </w:t>
      </w:r>
      <w:r w:rsidR="005258BF">
        <w:t>Performance-Programm aufgelegt</w:t>
      </w:r>
      <w:r w:rsidR="00964044">
        <w:t xml:space="preserve"> </w:t>
      </w:r>
      <w:r w:rsidR="000B3D4A">
        <w:t xml:space="preserve"> </w:t>
      </w:r>
      <w:r>
        <w:t xml:space="preserve"> </w:t>
      </w:r>
    </w:p>
    <w:p w14:paraId="167F2471" w14:textId="77777777" w:rsidR="00441011" w:rsidRDefault="00964044" w:rsidP="00B97F01">
      <w:pPr>
        <w:pStyle w:val="MMFlietext"/>
      </w:pPr>
      <w:r>
        <w:t>D</w:t>
      </w:r>
      <w:r w:rsidR="00EA565B">
        <w:t>er</w:t>
      </w:r>
      <w:r>
        <w:t xml:space="preserve"> </w:t>
      </w:r>
      <w:r w:rsidR="000B3D4A" w:rsidRPr="003A4093">
        <w:t xml:space="preserve">Unternehmensbereich </w:t>
      </w:r>
      <w:proofErr w:type="spellStart"/>
      <w:r w:rsidR="000B3D4A" w:rsidRPr="003A4093">
        <w:t>Wire</w:t>
      </w:r>
      <w:proofErr w:type="spellEnd"/>
      <w:r w:rsidR="000B3D4A" w:rsidRPr="003A4093">
        <w:t xml:space="preserve"> &amp; Cable Solutions</w:t>
      </w:r>
      <w:r w:rsidR="00C4480F">
        <w:t xml:space="preserve"> (WCS)</w:t>
      </w:r>
      <w:r w:rsidR="000B3D4A" w:rsidRPr="003A4093">
        <w:t xml:space="preserve"> </w:t>
      </w:r>
      <w:r w:rsidR="00EA565B">
        <w:t xml:space="preserve">profitierte im Berichtsjahr von einer weiterhin starken, globalen Nachfrage nach Fahrzeugleitungen sowie von der Belebung der meisten industriellen Abnehmerbranchen. </w:t>
      </w:r>
      <w:r w:rsidR="00441011">
        <w:t>D</w:t>
      </w:r>
      <w:r w:rsidR="0075567E">
        <w:t xml:space="preserve">er </w:t>
      </w:r>
      <w:r w:rsidR="000B3D4A" w:rsidRPr="00BB4E8F">
        <w:t xml:space="preserve">Außenumsatz des </w:t>
      </w:r>
      <w:r w:rsidR="0075567E">
        <w:t xml:space="preserve">Segments </w:t>
      </w:r>
      <w:r w:rsidR="00441011">
        <w:t xml:space="preserve">legte um knapp 7 Prozent auf 1.703,8 Mio. Euro (2013: </w:t>
      </w:r>
      <w:r w:rsidR="0075567E">
        <w:t>1.596,9 Mio. Euro</w:t>
      </w:r>
      <w:r w:rsidR="00441011">
        <w:t xml:space="preserve">) zu, das deutlichste Plus ist dabei in Asien zu verzeichnen. </w:t>
      </w:r>
    </w:p>
    <w:p w14:paraId="628C17BC" w14:textId="314D76B4" w:rsidR="00FB5D6E" w:rsidRDefault="00205474" w:rsidP="00FB5D6E">
      <w:pPr>
        <w:pStyle w:val="MMFlietext"/>
      </w:pPr>
      <w:r>
        <w:t>Mit dem Aufbau zusätzlicher Produktionsstandorte bzw. der Erweiterung bestehender Kapazitäten in Mexiko, China und Indien legte der Unternehmensbereich die Basis für ein</w:t>
      </w:r>
      <w:r w:rsidR="00E51DA4">
        <w:t xml:space="preserve"> forciertes Wachstum außerhalb Europas.</w:t>
      </w:r>
      <w:r>
        <w:t xml:space="preserve"> </w:t>
      </w:r>
      <w:r w:rsidR="00441011">
        <w:t xml:space="preserve">Um die </w:t>
      </w:r>
      <w:r w:rsidR="00B653FB">
        <w:t xml:space="preserve">weitere </w:t>
      </w:r>
      <w:r w:rsidR="00441011">
        <w:t xml:space="preserve">Globalisierung </w:t>
      </w:r>
      <w:r>
        <w:t>zu unterstützen</w:t>
      </w:r>
      <w:r w:rsidR="006909D0">
        <w:t xml:space="preserve">, sind im Berichtsjahr </w:t>
      </w:r>
      <w:r w:rsidR="00441011">
        <w:t xml:space="preserve">in </w:t>
      </w:r>
      <w:r w:rsidR="00EA565B">
        <w:lastRenderedPageBreak/>
        <w:t xml:space="preserve">Asien und Amerika </w:t>
      </w:r>
      <w:r w:rsidR="00441011">
        <w:t xml:space="preserve">regionale Strukturen </w:t>
      </w:r>
      <w:r w:rsidR="006909D0">
        <w:t>entstanden</w:t>
      </w:r>
      <w:r w:rsidR="00441011">
        <w:t xml:space="preserve">. </w:t>
      </w:r>
      <w:r w:rsidR="00B653FB">
        <w:t xml:space="preserve">Zur verstärkten Realisierung von </w:t>
      </w:r>
      <w:r w:rsidR="001F1C6E">
        <w:t xml:space="preserve">Synergien </w:t>
      </w:r>
      <w:r w:rsidR="00441011">
        <w:t xml:space="preserve">wurden </w:t>
      </w:r>
      <w:r>
        <w:t>i</w:t>
      </w:r>
      <w:r w:rsidR="00441011">
        <w:t xml:space="preserve">m Rahmen der organisatorischen Weiterentwicklung </w:t>
      </w:r>
      <w:r w:rsidR="00B653FB">
        <w:t xml:space="preserve">der Division </w:t>
      </w:r>
      <w:r w:rsidR="00EA565B">
        <w:t>kaufmännische</w:t>
      </w:r>
      <w:r>
        <w:t xml:space="preserve"> </w:t>
      </w:r>
      <w:r w:rsidR="00EA565B">
        <w:t xml:space="preserve">und technisch-operative Funktionen </w:t>
      </w:r>
      <w:r w:rsidR="0052538C">
        <w:t xml:space="preserve">zu </w:t>
      </w:r>
      <w:r w:rsidR="001F1C6E">
        <w:t>Querschnittsbereichen gebündelt.</w:t>
      </w:r>
      <w:r w:rsidR="00FB5D6E">
        <w:t xml:space="preserve"> Darüber </w:t>
      </w:r>
      <w:r w:rsidR="00B7428E">
        <w:t xml:space="preserve">hinaus </w:t>
      </w:r>
      <w:r w:rsidR="005D6FB1">
        <w:t>wird</w:t>
      </w:r>
      <w:r w:rsidR="00B7428E">
        <w:t xml:space="preserve"> da</w:t>
      </w:r>
      <w:r w:rsidR="00FB5D6E">
        <w:t xml:space="preserve">s neu aufgelegte Wachstums-Programm „WCS ON Excellence“ dazu beitragen, mittelfristig </w:t>
      </w:r>
      <w:r w:rsidR="006909D0">
        <w:t>die Effizienz der gesamten Division zu steigern</w:t>
      </w:r>
      <w:r w:rsidR="00FB5D6E">
        <w:t>.</w:t>
      </w:r>
    </w:p>
    <w:p w14:paraId="789C5483" w14:textId="6CA4CE42" w:rsidR="00E436DA" w:rsidRDefault="00FB5D6E" w:rsidP="00EA565B">
      <w:pPr>
        <w:pStyle w:val="MMFlietext"/>
      </w:pPr>
      <w:r>
        <w:t xml:space="preserve">Im Berichtsjahr </w:t>
      </w:r>
      <w:r w:rsidR="004B0672">
        <w:t xml:space="preserve">wuchs das Bereichs-EBIT </w:t>
      </w:r>
      <w:r w:rsidR="00B7428E">
        <w:t xml:space="preserve">bereits </w:t>
      </w:r>
      <w:r w:rsidR="004B0672">
        <w:t>um knapp zwei Drittel auf 78,1 Mio. Euro (2013: 47,1 Mio. Euro). Neben der verbesserten Kapazitätsauslastung machte</w:t>
      </w:r>
      <w:r w:rsidR="005D6FB1">
        <w:t>n</w:t>
      </w:r>
      <w:r w:rsidR="004B0672">
        <w:t xml:space="preserve"> sich </w:t>
      </w:r>
      <w:r w:rsidR="008B40A3">
        <w:t>die Effekte der Restrukturierung des Vorjah</w:t>
      </w:r>
      <w:r w:rsidR="008E1582">
        <w:t xml:space="preserve">res </w:t>
      </w:r>
      <w:r w:rsidR="004B0672">
        <w:t>positiv bemerkbar</w:t>
      </w:r>
      <w:r w:rsidR="000B3D4A">
        <w:t>.</w:t>
      </w:r>
      <w:r w:rsidR="00E436DA">
        <w:t xml:space="preserve"> </w:t>
      </w:r>
    </w:p>
    <w:p w14:paraId="20630ECB" w14:textId="159EC058" w:rsidR="00E436DA" w:rsidRPr="00D5108C" w:rsidRDefault="001F1C6E" w:rsidP="00E436DA">
      <w:pPr>
        <w:pStyle w:val="MMZwischenberschrift"/>
      </w:pPr>
      <w:r>
        <w:t>Investitionen</w:t>
      </w:r>
      <w:r w:rsidR="005B227D" w:rsidRPr="00D5108C">
        <w:t xml:space="preserve">: </w:t>
      </w:r>
      <w:r w:rsidR="00281258">
        <w:t>Rekord-</w:t>
      </w:r>
      <w:r>
        <w:t>Summe für</w:t>
      </w:r>
      <w:r w:rsidR="00281258">
        <w:t xml:space="preserve"> weiteres Wachstum</w:t>
      </w:r>
      <w:r w:rsidR="00B6668B" w:rsidRPr="00D5108C">
        <w:t xml:space="preserve"> </w:t>
      </w:r>
    </w:p>
    <w:p w14:paraId="133B3620" w14:textId="363552EE" w:rsidR="00BD64D4" w:rsidRPr="005258BF" w:rsidRDefault="00151D75" w:rsidP="00141D22">
      <w:pPr>
        <w:pStyle w:val="MMFlietext"/>
      </w:pPr>
      <w:r>
        <w:t>I</w:t>
      </w:r>
      <w:r w:rsidR="00BD64D4">
        <w:t>m Geschäftsjahr 201</w:t>
      </w:r>
      <w:r>
        <w:t xml:space="preserve">4 </w:t>
      </w:r>
      <w:r w:rsidR="0052538C">
        <w:t xml:space="preserve">hat </w:t>
      </w:r>
      <w:r>
        <w:t xml:space="preserve">Leoni erneut stark </w:t>
      </w:r>
      <w:r w:rsidR="0052538C">
        <w:t xml:space="preserve">investiert </w:t>
      </w:r>
      <w:r>
        <w:t xml:space="preserve">und für </w:t>
      </w:r>
      <w:r w:rsidRPr="00BD64D4">
        <w:t>Sachanlagen und immaterielle Vermögenswerte</w:t>
      </w:r>
      <w:r>
        <w:t xml:space="preserve"> die </w:t>
      </w:r>
      <w:r w:rsidR="003E50A5" w:rsidRPr="00D5108C">
        <w:t xml:space="preserve">Rekordsumme von </w:t>
      </w:r>
      <w:r>
        <w:t>2</w:t>
      </w:r>
      <w:r w:rsidR="003527A8">
        <w:t>15,8 Mio. Euro</w:t>
      </w:r>
      <w:r>
        <w:t xml:space="preserve"> (2013: </w:t>
      </w:r>
      <w:r w:rsidR="00133DEA">
        <w:t>168,4 Mio. Euro</w:t>
      </w:r>
      <w:r>
        <w:t xml:space="preserve">) </w:t>
      </w:r>
      <w:r w:rsidR="0052538C">
        <w:t>aufgewendet.</w:t>
      </w:r>
      <w:r w:rsidR="00133DEA">
        <w:t xml:space="preserve"> Das Unternehmen baute seine Kapazitäten </w:t>
      </w:r>
      <w:r w:rsidR="00742E26">
        <w:t xml:space="preserve">in allen drei Weltregionen aus. Knapp zwei Drittel entfielen auf </w:t>
      </w:r>
      <w:r w:rsidR="0067639A">
        <w:t xml:space="preserve">die Region </w:t>
      </w:r>
      <w:r w:rsidR="00742E26">
        <w:t xml:space="preserve">EMEA (Europa, Mittlerer Osten und Afrika), und hiervon gut die Hälfte auf Osteuropa. In Asien stiegen die Investitionen </w:t>
      </w:r>
      <w:r w:rsidR="00141D22">
        <w:t xml:space="preserve">prozentual </w:t>
      </w:r>
      <w:r w:rsidR="00742E26">
        <w:t xml:space="preserve">am </w:t>
      </w:r>
      <w:r w:rsidR="00B653FB">
        <w:t>stärksten</w:t>
      </w:r>
      <w:r w:rsidR="00742E26">
        <w:t xml:space="preserve"> – um </w:t>
      </w:r>
      <w:r w:rsidR="00141D22">
        <w:t>mehr als 50</w:t>
      </w:r>
      <w:r w:rsidR="00742E26">
        <w:t xml:space="preserve"> Prozent</w:t>
      </w:r>
      <w:r w:rsidR="00141D22">
        <w:t xml:space="preserve">. Auch in Amerika flossen mit einem Plus von 36 Prozent gegenüber dem Vorjahreszeitraum überproportional viele Mittel in den Ausbau der Produktionsanlagen. Leoni </w:t>
      </w:r>
      <w:r w:rsidR="00951375" w:rsidRPr="00951375">
        <w:t xml:space="preserve">erwirtschaftete einen Mittelzufluss aus laufender Geschäftstätigkeit von </w:t>
      </w:r>
      <w:r w:rsidR="00742E26">
        <w:t xml:space="preserve">180,8 Mio. Euro (2013: </w:t>
      </w:r>
      <w:r w:rsidR="00DE590C">
        <w:t>187,4 Mio. Euro)</w:t>
      </w:r>
      <w:r w:rsidR="00951375" w:rsidRPr="00951375">
        <w:t xml:space="preserve">. </w:t>
      </w:r>
      <w:r w:rsidR="00141D22">
        <w:t xml:space="preserve">Wegen der </w:t>
      </w:r>
      <w:r w:rsidR="001F1C6E">
        <w:t xml:space="preserve">Ausgaben für die </w:t>
      </w:r>
      <w:r w:rsidR="00141D22">
        <w:t xml:space="preserve">Investitionen und der </w:t>
      </w:r>
      <w:r w:rsidR="0067639A">
        <w:t xml:space="preserve">bedingt </w:t>
      </w:r>
      <w:r w:rsidR="00141D22">
        <w:t>durch größere Vorräte gestiegenen Mittelbindung im Working Capital ve</w:t>
      </w:r>
      <w:r w:rsidR="00141D22" w:rsidRPr="00281258">
        <w:t xml:space="preserve">rringerte </w:t>
      </w:r>
      <w:r w:rsidR="00141D22" w:rsidRPr="005258BF">
        <w:t xml:space="preserve">sich der </w:t>
      </w:r>
      <w:r w:rsidR="00951375" w:rsidRPr="005258BF">
        <w:t xml:space="preserve">Free Cashflow </w:t>
      </w:r>
      <w:r w:rsidR="00141D22" w:rsidRPr="005258BF">
        <w:t xml:space="preserve">auf </w:t>
      </w:r>
      <w:r w:rsidR="00281258" w:rsidRPr="005258BF">
        <w:t>-37,9 Mio. Euro (2013: +</w:t>
      </w:r>
      <w:r w:rsidR="00DE590C" w:rsidRPr="005258BF">
        <w:t>36,7 Mio. Euro)</w:t>
      </w:r>
      <w:r w:rsidR="00BD64D4" w:rsidRPr="005258BF">
        <w:t>.</w:t>
      </w:r>
    </w:p>
    <w:p w14:paraId="61981BD3" w14:textId="37E7F7F8" w:rsidR="003E50A5" w:rsidRPr="005258BF" w:rsidRDefault="003E50A5" w:rsidP="003E50A5">
      <w:pPr>
        <w:pStyle w:val="MMZwischenberschrift"/>
      </w:pPr>
      <w:r w:rsidRPr="005258BF">
        <w:t xml:space="preserve">Finanzlage: </w:t>
      </w:r>
      <w:r w:rsidR="005258BF">
        <w:t>Eigenkapitalquote weiter auf hohem Niveau</w:t>
      </w:r>
    </w:p>
    <w:p w14:paraId="23706251" w14:textId="49D77BBB" w:rsidR="00271757" w:rsidRPr="005258BF" w:rsidRDefault="005258BF" w:rsidP="005258BF">
      <w:pPr>
        <w:pStyle w:val="MMFlietext"/>
      </w:pPr>
      <w:r>
        <w:t>Im Geschäftsjahr 2014 stellte sich die Finanz- und Vermögenslage von Leoni weiterhin solide dar. D</w:t>
      </w:r>
      <w:r w:rsidR="008D5F1D" w:rsidRPr="005258BF">
        <w:t xml:space="preserve">as Eigenkapital </w:t>
      </w:r>
      <w:r>
        <w:t>legte zum Jahresende um etwa 11 Prozent auf 917,8 Mio. Euro (2013:</w:t>
      </w:r>
      <w:r w:rsidR="008D5F1D" w:rsidRPr="005258BF">
        <w:t xml:space="preserve"> 827,6 Mio. Euro</w:t>
      </w:r>
      <w:r>
        <w:t>) zu</w:t>
      </w:r>
      <w:r w:rsidR="008D5F1D" w:rsidRPr="005258BF">
        <w:t>,</w:t>
      </w:r>
      <w:r>
        <w:t xml:space="preserve"> die </w:t>
      </w:r>
      <w:r w:rsidR="00FF18F8" w:rsidRPr="005258BF">
        <w:t xml:space="preserve">Eigenkapitalquote </w:t>
      </w:r>
      <w:r>
        <w:t xml:space="preserve">belief sich zum Stichtag nahezu unverändert auf 34,4 Prozent (31.12.2013: </w:t>
      </w:r>
      <w:r w:rsidR="00FF18F8" w:rsidRPr="005258BF">
        <w:t>3</w:t>
      </w:r>
      <w:r w:rsidR="008D5F1D" w:rsidRPr="005258BF">
        <w:t xml:space="preserve">4,5 </w:t>
      </w:r>
      <w:r w:rsidR="00FF18F8" w:rsidRPr="005258BF">
        <w:t>Prozent)</w:t>
      </w:r>
      <w:r>
        <w:t xml:space="preserve">. </w:t>
      </w:r>
      <w:r w:rsidR="001F1C6E">
        <w:t xml:space="preserve">Aufgrund des negativen Free Cashflows und der Dividendenzahlung </w:t>
      </w:r>
      <w:r w:rsidR="00A641D9">
        <w:t>wuchsen die</w:t>
      </w:r>
      <w:r w:rsidR="00B6668B" w:rsidRPr="005258BF">
        <w:t xml:space="preserve"> Nettofinanz</w:t>
      </w:r>
      <w:r w:rsidR="00EB524C" w:rsidRPr="005258BF">
        <w:t>schulden</w:t>
      </w:r>
      <w:r w:rsidR="00B6668B" w:rsidRPr="005258BF">
        <w:t xml:space="preserve"> </w:t>
      </w:r>
      <w:r w:rsidR="008D5F1D" w:rsidRPr="005258BF">
        <w:t xml:space="preserve">zum Jahresende </w:t>
      </w:r>
      <w:r w:rsidR="00A641D9">
        <w:t xml:space="preserve">von </w:t>
      </w:r>
      <w:r w:rsidR="00A641D9">
        <w:lastRenderedPageBreak/>
        <w:t xml:space="preserve">zuletzt </w:t>
      </w:r>
      <w:r w:rsidR="008D5F1D" w:rsidRPr="005258BF">
        <w:t xml:space="preserve">257,0 Mio. Euro </w:t>
      </w:r>
      <w:r w:rsidR="00A641D9">
        <w:t>auf nunmehr 316,</w:t>
      </w:r>
      <w:r w:rsidR="00026A19">
        <w:t>2</w:t>
      </w:r>
      <w:r w:rsidR="00A641D9">
        <w:t xml:space="preserve"> </w:t>
      </w:r>
      <w:r w:rsidR="008D5F1D" w:rsidRPr="005258BF">
        <w:t xml:space="preserve">Mio. Euro. </w:t>
      </w:r>
      <w:r w:rsidR="00340E9C" w:rsidRPr="005258BF">
        <w:t xml:space="preserve">Der Verschuldungsgrad </w:t>
      </w:r>
      <w:r w:rsidR="008A424F" w:rsidRPr="005258BF">
        <w:t>(</w:t>
      </w:r>
      <w:proofErr w:type="spellStart"/>
      <w:r w:rsidR="008A424F" w:rsidRPr="005258BF">
        <w:t>Gearing</w:t>
      </w:r>
      <w:proofErr w:type="spellEnd"/>
      <w:r w:rsidR="008A424F" w:rsidRPr="005258BF">
        <w:t xml:space="preserve">) </w:t>
      </w:r>
      <w:r w:rsidR="00A641D9">
        <w:t xml:space="preserve">stieg damit </w:t>
      </w:r>
      <w:r w:rsidR="00026A19">
        <w:t xml:space="preserve">leicht </w:t>
      </w:r>
      <w:r w:rsidR="00A641D9">
        <w:t xml:space="preserve">auf 34 Prozent (2013: </w:t>
      </w:r>
      <w:r w:rsidR="008D5F1D" w:rsidRPr="005258BF">
        <w:t>31</w:t>
      </w:r>
      <w:r w:rsidR="008A424F" w:rsidRPr="005258BF">
        <w:t xml:space="preserve"> Prozent</w:t>
      </w:r>
      <w:r w:rsidR="00B164DD" w:rsidRPr="005258BF">
        <w:t>). D</w:t>
      </w:r>
      <w:r w:rsidR="003E50A5" w:rsidRPr="005258BF">
        <w:t xml:space="preserve">ie </w:t>
      </w:r>
      <w:r w:rsidR="00340E9C" w:rsidRPr="005258BF">
        <w:t>Gesamtk</w:t>
      </w:r>
      <w:r w:rsidR="003E50A5" w:rsidRPr="005258BF">
        <w:t>apitalrendite (</w:t>
      </w:r>
      <w:r w:rsidR="00B164DD" w:rsidRPr="005258BF">
        <w:t>ROCE</w:t>
      </w:r>
      <w:r w:rsidR="003E50A5" w:rsidRPr="005258BF">
        <w:t xml:space="preserve">) </w:t>
      </w:r>
      <w:r w:rsidR="00A641D9">
        <w:t xml:space="preserve">erhöhte sich im Berichtsjahr </w:t>
      </w:r>
      <w:r w:rsidR="0052538C">
        <w:t xml:space="preserve">geringfügig </w:t>
      </w:r>
      <w:r w:rsidR="00A641D9">
        <w:t xml:space="preserve">auf 13,7 Prozent (2013: </w:t>
      </w:r>
      <w:r w:rsidR="00271757" w:rsidRPr="005258BF">
        <w:t>13,</w:t>
      </w:r>
      <w:r w:rsidR="00A641D9">
        <w:t>4</w:t>
      </w:r>
      <w:r w:rsidR="00271757" w:rsidRPr="005258BF">
        <w:t xml:space="preserve"> </w:t>
      </w:r>
      <w:r w:rsidR="00C428F9" w:rsidRPr="005258BF">
        <w:t>Prozent</w:t>
      </w:r>
      <w:r w:rsidR="00A641D9">
        <w:t xml:space="preserve">) und erreichte damit </w:t>
      </w:r>
      <w:proofErr w:type="gramStart"/>
      <w:r w:rsidR="00A641D9">
        <w:t>den</w:t>
      </w:r>
      <w:proofErr w:type="gramEnd"/>
      <w:r w:rsidR="00A641D9">
        <w:t xml:space="preserve"> im Oktober 2014 angepassten Zielwert.</w:t>
      </w:r>
      <w:r w:rsidR="00271757" w:rsidRPr="005258BF">
        <w:t xml:space="preserve"> </w:t>
      </w:r>
    </w:p>
    <w:p w14:paraId="29789026" w14:textId="4B11E83A" w:rsidR="00E436DA" w:rsidRPr="005258BF" w:rsidRDefault="00E436DA" w:rsidP="00E436DA">
      <w:pPr>
        <w:pStyle w:val="MMZwischenberschrift"/>
      </w:pPr>
      <w:r w:rsidRPr="005258BF">
        <w:t xml:space="preserve">Prognose: </w:t>
      </w:r>
      <w:r w:rsidR="00971DD9">
        <w:t>2015 mit moderatem und 2016 mit kräftigem Wachstum</w:t>
      </w:r>
      <w:r w:rsidR="00163BF2">
        <w:t xml:space="preserve"> </w:t>
      </w:r>
      <w:r w:rsidR="00F9437E" w:rsidRPr="005258BF">
        <w:t xml:space="preserve"> </w:t>
      </w:r>
    </w:p>
    <w:p w14:paraId="30CB39A7" w14:textId="6741F44B" w:rsidR="00271757" w:rsidRPr="005258BF" w:rsidRDefault="00271757" w:rsidP="00A63DF9">
      <w:pPr>
        <w:pStyle w:val="MMFlietext"/>
      </w:pPr>
      <w:r w:rsidRPr="005258BF">
        <w:t xml:space="preserve">Leoni </w:t>
      </w:r>
      <w:r w:rsidR="00163BF2">
        <w:t xml:space="preserve">bleibt 2015 weiter auf Wachstumskurs und erwartet einen </w:t>
      </w:r>
      <w:r w:rsidR="00A63DF9">
        <w:t xml:space="preserve">moderaten </w:t>
      </w:r>
      <w:r w:rsidR="00163BF2">
        <w:t>Umsatzanstieg auf ca. 4,3 Mrd. Euro, der vor allem von den Regionen Amerika und Asien/Pazifik getr</w:t>
      </w:r>
      <w:r w:rsidR="00A63DF9">
        <w:t>agen</w:t>
      </w:r>
      <w:r w:rsidR="00163BF2">
        <w:t xml:space="preserve"> wird. Das </w:t>
      </w:r>
      <w:r w:rsidRPr="005258BF">
        <w:t xml:space="preserve">Ergebnis vor Zinsen und Steuern </w:t>
      </w:r>
      <w:r w:rsidR="00163BF2">
        <w:t xml:space="preserve">wird </w:t>
      </w:r>
      <w:r w:rsidRPr="005258BF">
        <w:t>m</w:t>
      </w:r>
      <w:r w:rsidR="00163BF2">
        <w:t xml:space="preserve">ehr als </w:t>
      </w:r>
      <w:r w:rsidRPr="005258BF">
        <w:t xml:space="preserve">200 Mio. Euro </w:t>
      </w:r>
      <w:r w:rsidR="00163BF2">
        <w:t>betragen</w:t>
      </w:r>
      <w:r w:rsidRPr="005258BF">
        <w:t xml:space="preserve">. </w:t>
      </w:r>
      <w:r w:rsidR="00163BF2">
        <w:t xml:space="preserve">Das Unternehmen investiert mit voraussichtlich </w:t>
      </w:r>
      <w:r w:rsidR="00163BF2" w:rsidRPr="005258BF">
        <w:t>2</w:t>
      </w:r>
      <w:r w:rsidR="00A63DF9">
        <w:t>4</w:t>
      </w:r>
      <w:r w:rsidR="00163BF2" w:rsidRPr="005258BF">
        <w:t xml:space="preserve">0 Mio. Euro </w:t>
      </w:r>
      <w:r w:rsidR="00A63DF9">
        <w:t>abermals stark in seine künftige Expansion</w:t>
      </w:r>
      <w:r w:rsidR="00C34BE7" w:rsidRPr="005258BF">
        <w:t xml:space="preserve">. </w:t>
      </w:r>
      <w:r w:rsidR="00A63DF9">
        <w:t xml:space="preserve">Trotzdem </w:t>
      </w:r>
      <w:r w:rsidR="007D4BEC">
        <w:t>soll</w:t>
      </w:r>
      <w:r w:rsidR="00A63DF9">
        <w:t xml:space="preserve"> wegen höherer Mittelzuflüsse ein ausgeglichener Free Cashflow er</w:t>
      </w:r>
      <w:r w:rsidR="00971DD9">
        <w:t>reicht</w:t>
      </w:r>
      <w:r w:rsidR="007D4BEC">
        <w:t xml:space="preserve"> werden</w:t>
      </w:r>
      <w:r w:rsidR="00A63DF9">
        <w:t xml:space="preserve">. Für die </w:t>
      </w:r>
      <w:r w:rsidR="00A63DF9" w:rsidRPr="005258BF">
        <w:t xml:space="preserve">Gesamtkapitalrendite </w:t>
      </w:r>
      <w:r w:rsidR="00A63DF9">
        <w:t xml:space="preserve">liegt der Zielwert bei </w:t>
      </w:r>
      <w:r w:rsidR="00026A19">
        <w:t xml:space="preserve">leicht </w:t>
      </w:r>
      <w:r w:rsidR="00A63DF9">
        <w:t xml:space="preserve">verbesserten </w:t>
      </w:r>
      <w:r w:rsidR="00026A19">
        <w:t xml:space="preserve">14 </w:t>
      </w:r>
      <w:r w:rsidR="00A63DF9">
        <w:t xml:space="preserve">Prozent. </w:t>
      </w:r>
      <w:r w:rsidR="00920CF3">
        <w:t>D</w:t>
      </w:r>
      <w:r w:rsidR="00971DD9">
        <w:t xml:space="preserve">ie </w:t>
      </w:r>
      <w:r w:rsidR="00A63DF9">
        <w:t xml:space="preserve">Eigenkapitalquote </w:t>
      </w:r>
      <w:r w:rsidR="00971DD9">
        <w:t xml:space="preserve">wächst voraussichtlich auf </w:t>
      </w:r>
      <w:r w:rsidR="00A63DF9">
        <w:t>mehr als 35 Prozent.</w:t>
      </w:r>
      <w:r w:rsidR="00540F3D" w:rsidRPr="005258BF">
        <w:t xml:space="preserve"> </w:t>
      </w:r>
    </w:p>
    <w:p w14:paraId="7F6F8CA9" w14:textId="61387B49" w:rsidR="00540F3D" w:rsidRDefault="00920CF3" w:rsidP="00971DD9">
      <w:pPr>
        <w:pStyle w:val="MMFlietext"/>
      </w:pPr>
      <w:r>
        <w:t>Wie bereits vor Jahren kommuniziert</w:t>
      </w:r>
      <w:r w:rsidR="00F1236C">
        <w:t>,</w:t>
      </w:r>
      <w:r>
        <w:t xml:space="preserve"> </w:t>
      </w:r>
      <w:r w:rsidR="00971DD9">
        <w:t xml:space="preserve">wird das Geschäftsjahr 2016 </w:t>
      </w:r>
      <w:r>
        <w:t xml:space="preserve">einen kräftigen Wachstumsschub auf 5 Mrd. </w:t>
      </w:r>
      <w:r w:rsidR="00F1236C">
        <w:t xml:space="preserve">Euro </w:t>
      </w:r>
      <w:r>
        <w:t xml:space="preserve">Umsatz </w:t>
      </w:r>
      <w:r w:rsidR="00971DD9">
        <w:t>bringen</w:t>
      </w:r>
      <w:r>
        <w:t>. Der daraus resultierende zusätzliche Deck</w:t>
      </w:r>
      <w:r w:rsidR="00F1236C">
        <w:t>ung</w:t>
      </w:r>
      <w:r>
        <w:t>sbeitrag in Verbindung mit weiteren Effizienzgewinnen sowie deutlich geringe</w:t>
      </w:r>
      <w:r w:rsidR="00F1236C">
        <w:t>re</w:t>
      </w:r>
      <w:r>
        <w:t xml:space="preserve">n Vorlaufkosten für neue </w:t>
      </w:r>
      <w:r w:rsidR="00F1236C">
        <w:t>Bordnetz-</w:t>
      </w:r>
      <w:r>
        <w:t xml:space="preserve">Projekte wird eine </w:t>
      </w:r>
      <w:r w:rsidR="00971DD9">
        <w:t>EBIT-Marge von 7 Prozent er</w:t>
      </w:r>
      <w:r>
        <w:t>möglichen.</w:t>
      </w:r>
    </w:p>
    <w:p w14:paraId="65B77E70" w14:textId="4D1B85C1" w:rsidR="00B30C8C" w:rsidRPr="00D65565" w:rsidRDefault="005456EE" w:rsidP="00D65565">
      <w:pPr>
        <w:pStyle w:val="MMFlietext"/>
      </w:pPr>
      <w:r w:rsidRPr="006D36F9">
        <w:rPr>
          <w:i/>
          <w:sz w:val="21"/>
          <w:szCs w:val="21"/>
        </w:rPr>
        <w:t>(</w:t>
      </w:r>
      <w:r w:rsidR="00D65565">
        <w:rPr>
          <w:i/>
          <w:sz w:val="21"/>
          <w:szCs w:val="21"/>
        </w:rPr>
        <w:t>7.397</w:t>
      </w:r>
      <w:r w:rsidRPr="006D36F9">
        <w:rPr>
          <w:i/>
          <w:sz w:val="21"/>
          <w:szCs w:val="21"/>
        </w:rPr>
        <w:t xml:space="preserve"> Anschläge inkl.</w:t>
      </w:r>
      <w:r>
        <w:rPr>
          <w:i/>
          <w:sz w:val="21"/>
          <w:szCs w:val="21"/>
        </w:rPr>
        <w:t xml:space="preserve"> Leerzeichen)</w:t>
      </w:r>
    </w:p>
    <w:p w14:paraId="42F2859D" w14:textId="77777777" w:rsidR="00D65565" w:rsidRDefault="00D65565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14:paraId="075B1ADA" w14:textId="33E713E2" w:rsidR="005456EE" w:rsidRPr="009714B0" w:rsidRDefault="005456EE" w:rsidP="005456EE">
      <w:pPr>
        <w:pStyle w:val="MMKurzprofilberschrift"/>
        <w:spacing w:after="120"/>
      </w:pPr>
      <w:bookmarkStart w:id="0" w:name="_GoBack"/>
      <w:bookmarkEnd w:id="0"/>
      <w:r w:rsidRPr="009714B0">
        <w:lastRenderedPageBreak/>
        <w:t>Leoni-Konzernzahlen im Überblick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276"/>
        <w:gridCol w:w="1276"/>
      </w:tblGrid>
      <w:tr w:rsidR="005456EE" w:rsidRPr="00DF6351" w14:paraId="3DA1B183" w14:textId="77777777" w:rsidTr="00E436DA">
        <w:tc>
          <w:tcPr>
            <w:tcW w:w="4077" w:type="dxa"/>
          </w:tcPr>
          <w:p w14:paraId="4D21BF4A" w14:textId="77777777"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</w:tc>
        <w:tc>
          <w:tcPr>
            <w:tcW w:w="1276" w:type="dxa"/>
          </w:tcPr>
          <w:p w14:paraId="22B44629" w14:textId="39A26A31" w:rsidR="005456EE" w:rsidRPr="00BE78C2" w:rsidRDefault="005456EE" w:rsidP="00313CD5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78C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313CD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8F46949" w14:textId="3068A22A" w:rsidR="005456EE" w:rsidRPr="00BE78C2" w:rsidRDefault="005456EE" w:rsidP="00313CD5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78C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313C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377FFEB" w14:textId="77777777" w:rsidR="005456EE" w:rsidRPr="00BE78C2" w:rsidRDefault="005456EE" w:rsidP="00E436DA">
            <w:pPr>
              <w:tabs>
                <w:tab w:val="left" w:pos="8505"/>
              </w:tabs>
              <w:ind w:left="-13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BE78C2">
              <w:rPr>
                <w:rFonts w:ascii="Arial" w:hAnsi="Arial" w:cs="Arial"/>
                <w:b/>
                <w:sz w:val="18"/>
                <w:szCs w:val="18"/>
              </w:rPr>
              <w:t>Veränderung</w:t>
            </w:r>
          </w:p>
        </w:tc>
      </w:tr>
      <w:tr w:rsidR="007D4BEC" w:rsidRPr="00DF6351" w14:paraId="1F007442" w14:textId="77777777" w:rsidTr="007D4BEC">
        <w:trPr>
          <w:trHeight w:val="284"/>
        </w:trPr>
        <w:tc>
          <w:tcPr>
            <w:tcW w:w="4077" w:type="dxa"/>
            <w:vAlign w:val="center"/>
          </w:tcPr>
          <w:p w14:paraId="7F23D1F1" w14:textId="77777777" w:rsidR="007D4BEC" w:rsidRPr="00DF6351" w:rsidRDefault="007D4BE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6351">
              <w:rPr>
                <w:rFonts w:ascii="Arial" w:hAnsi="Arial" w:cs="Arial"/>
                <w:sz w:val="18"/>
                <w:szCs w:val="18"/>
              </w:rPr>
              <w:t>msatz</w:t>
            </w:r>
            <w:r>
              <w:rPr>
                <w:rFonts w:ascii="Arial" w:hAnsi="Arial" w:cs="Arial"/>
                <w:sz w:val="18"/>
                <w:szCs w:val="18"/>
              </w:rPr>
              <w:t>erlöse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1C3A0536" w14:textId="16F8549C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4.103,4</w:t>
            </w:r>
          </w:p>
        </w:tc>
        <w:tc>
          <w:tcPr>
            <w:tcW w:w="1276" w:type="dxa"/>
            <w:vAlign w:val="center"/>
          </w:tcPr>
          <w:p w14:paraId="78E6A96D" w14:textId="03B637A4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3.917,9</w:t>
            </w:r>
          </w:p>
        </w:tc>
        <w:tc>
          <w:tcPr>
            <w:tcW w:w="1276" w:type="dxa"/>
            <w:vAlign w:val="center"/>
          </w:tcPr>
          <w:p w14:paraId="43FEBF5F" w14:textId="35078978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+4,7 %</w:t>
            </w:r>
          </w:p>
        </w:tc>
      </w:tr>
      <w:tr w:rsidR="007D4BEC" w:rsidRPr="00DF6351" w14:paraId="72330993" w14:textId="77777777" w:rsidTr="007D4BEC">
        <w:trPr>
          <w:trHeight w:val="284"/>
        </w:trPr>
        <w:tc>
          <w:tcPr>
            <w:tcW w:w="4077" w:type="dxa"/>
            <w:vAlign w:val="center"/>
          </w:tcPr>
          <w:p w14:paraId="6F78CC29" w14:textId="77777777" w:rsidR="007D4BEC" w:rsidRPr="00DF6351" w:rsidRDefault="007D4BE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EBIT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083D25FA" w14:textId="5E1250BE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1276" w:type="dxa"/>
            <w:vAlign w:val="center"/>
          </w:tcPr>
          <w:p w14:paraId="2CE69CA5" w14:textId="79BEA588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163,1</w:t>
            </w:r>
          </w:p>
        </w:tc>
        <w:tc>
          <w:tcPr>
            <w:tcW w:w="1276" w:type="dxa"/>
            <w:vAlign w:val="center"/>
          </w:tcPr>
          <w:p w14:paraId="261441F5" w14:textId="74011A5B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+11,9 %</w:t>
            </w:r>
          </w:p>
        </w:tc>
      </w:tr>
      <w:tr w:rsidR="007D4BEC" w:rsidRPr="00DF6351" w14:paraId="527A27A9" w14:textId="77777777" w:rsidTr="007D4BEC">
        <w:trPr>
          <w:trHeight w:val="284"/>
        </w:trPr>
        <w:tc>
          <w:tcPr>
            <w:tcW w:w="4077" w:type="dxa"/>
            <w:vAlign w:val="center"/>
          </w:tcPr>
          <w:p w14:paraId="2B0347BC" w14:textId="62D8D3BF" w:rsidR="007D4BEC" w:rsidRPr="00DF6351" w:rsidRDefault="007D4BEC" w:rsidP="00C32C0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Bereinigtes EBIT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46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37E3D08A" w14:textId="2D37E52C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192,7</w:t>
            </w:r>
          </w:p>
        </w:tc>
        <w:tc>
          <w:tcPr>
            <w:tcW w:w="1276" w:type="dxa"/>
            <w:vAlign w:val="center"/>
          </w:tcPr>
          <w:p w14:paraId="39C3FE6C" w14:textId="5A0EA01F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198,7</w:t>
            </w:r>
          </w:p>
        </w:tc>
        <w:tc>
          <w:tcPr>
            <w:tcW w:w="1276" w:type="dxa"/>
            <w:vAlign w:val="center"/>
          </w:tcPr>
          <w:p w14:paraId="2F04493B" w14:textId="2F1D2A18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-3,0 %</w:t>
            </w:r>
          </w:p>
        </w:tc>
      </w:tr>
      <w:tr w:rsidR="007D4BEC" w:rsidRPr="00DF6351" w14:paraId="7C0AA50D" w14:textId="77777777" w:rsidTr="007D4BEC">
        <w:trPr>
          <w:trHeight w:val="284"/>
        </w:trPr>
        <w:tc>
          <w:tcPr>
            <w:tcW w:w="4077" w:type="dxa"/>
            <w:vAlign w:val="center"/>
          </w:tcPr>
          <w:p w14:paraId="33506652" w14:textId="77777777" w:rsidR="007D4BEC" w:rsidRPr="00DF6351" w:rsidRDefault="007D4BEC" w:rsidP="002D3B7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EBIT</w:t>
            </w:r>
            <w:r>
              <w:rPr>
                <w:rFonts w:ascii="Arial" w:hAnsi="Arial" w:cs="Arial"/>
                <w:sz w:val="18"/>
                <w:szCs w:val="18"/>
              </w:rPr>
              <w:t>-Marge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%]</w:t>
            </w:r>
          </w:p>
        </w:tc>
        <w:tc>
          <w:tcPr>
            <w:tcW w:w="1276" w:type="dxa"/>
            <w:vAlign w:val="center"/>
          </w:tcPr>
          <w:p w14:paraId="2E722F28" w14:textId="740D4949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276" w:type="dxa"/>
            <w:vAlign w:val="center"/>
          </w:tcPr>
          <w:p w14:paraId="6D87E36D" w14:textId="6ABC1BCC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14:paraId="112CBAE5" w14:textId="3A5D613D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7D4BEC" w:rsidRPr="008920B0" w14:paraId="2053DF42" w14:textId="77777777" w:rsidTr="007D4BEC">
        <w:trPr>
          <w:trHeight w:val="284"/>
        </w:trPr>
        <w:tc>
          <w:tcPr>
            <w:tcW w:w="4077" w:type="dxa"/>
            <w:vAlign w:val="center"/>
          </w:tcPr>
          <w:p w14:paraId="3F6AD6F6" w14:textId="4CAC51B1" w:rsidR="007D4BEC" w:rsidRPr="00DF6351" w:rsidRDefault="007D4BEC" w:rsidP="002A37A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</w:t>
            </w:r>
            <w:r w:rsidRPr="00DF6351">
              <w:rPr>
                <w:rFonts w:ascii="Arial" w:hAnsi="Arial" w:cs="Arial"/>
                <w:sz w:val="18"/>
                <w:szCs w:val="18"/>
              </w:rPr>
              <w:t>überschuss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00C5834C" w14:textId="658BC36B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1276" w:type="dxa"/>
            <w:vAlign w:val="center"/>
          </w:tcPr>
          <w:p w14:paraId="344AAB9D" w14:textId="40B27458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1276" w:type="dxa"/>
            <w:vAlign w:val="center"/>
          </w:tcPr>
          <w:p w14:paraId="2FA677EF" w14:textId="564DBBF5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  <w:lang w:val="en-GB"/>
              </w:rPr>
              <w:t>+8,7 %</w:t>
            </w:r>
          </w:p>
        </w:tc>
      </w:tr>
      <w:tr w:rsidR="007D4BEC" w:rsidRPr="00DF6351" w14:paraId="45F1DE04" w14:textId="77777777" w:rsidTr="007D4BEC">
        <w:trPr>
          <w:trHeight w:val="284"/>
        </w:trPr>
        <w:tc>
          <w:tcPr>
            <w:tcW w:w="4077" w:type="dxa"/>
            <w:vAlign w:val="center"/>
          </w:tcPr>
          <w:p w14:paraId="4CA8B77D" w14:textId="33403E7F" w:rsidR="007D4BEC" w:rsidRPr="00DF6351" w:rsidRDefault="007D4BEC" w:rsidP="00C32C0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Free Cashflow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2C0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(2)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7F9403B2" w14:textId="255B277D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-37,9</w:t>
            </w:r>
          </w:p>
        </w:tc>
        <w:tc>
          <w:tcPr>
            <w:tcW w:w="1276" w:type="dxa"/>
            <w:vAlign w:val="center"/>
          </w:tcPr>
          <w:p w14:paraId="6C5EBE8B" w14:textId="671A427E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1276" w:type="dxa"/>
            <w:vAlign w:val="center"/>
          </w:tcPr>
          <w:p w14:paraId="09C0D682" w14:textId="066847D2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-203,0 %</w:t>
            </w:r>
          </w:p>
        </w:tc>
      </w:tr>
      <w:tr w:rsidR="007D4BEC" w:rsidRPr="00DF6351" w14:paraId="5E7B77DF" w14:textId="77777777" w:rsidTr="007D4BEC">
        <w:trPr>
          <w:trHeight w:val="284"/>
        </w:trPr>
        <w:tc>
          <w:tcPr>
            <w:tcW w:w="4077" w:type="dxa"/>
            <w:vAlign w:val="center"/>
          </w:tcPr>
          <w:p w14:paraId="6ADF2068" w14:textId="77777777" w:rsidR="007D4BEC" w:rsidRPr="00DF6351" w:rsidRDefault="007D4BE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56EE">
              <w:rPr>
                <w:rFonts w:ascii="Arial" w:hAnsi="Arial" w:cs="Arial"/>
                <w:sz w:val="18"/>
                <w:szCs w:val="18"/>
                <w:lang w:val="en-US"/>
              </w:rPr>
              <w:t>Return on Cap</w:t>
            </w:r>
            <w:proofErr w:type="spellStart"/>
            <w:r w:rsidRPr="00DF6351">
              <w:rPr>
                <w:rFonts w:ascii="Arial" w:hAnsi="Arial" w:cs="Arial"/>
                <w:sz w:val="18"/>
                <w:szCs w:val="18"/>
                <w:lang w:val="en-GB"/>
              </w:rPr>
              <w:t>ital</w:t>
            </w:r>
            <w:proofErr w:type="spellEnd"/>
            <w:r w:rsidRPr="00DF6351">
              <w:rPr>
                <w:rFonts w:ascii="Arial" w:hAnsi="Arial" w:cs="Arial"/>
                <w:sz w:val="18"/>
                <w:szCs w:val="18"/>
                <w:lang w:val="en-GB"/>
              </w:rPr>
              <w:t xml:space="preserve"> Employed [in %]</w:t>
            </w:r>
          </w:p>
        </w:tc>
        <w:tc>
          <w:tcPr>
            <w:tcW w:w="1276" w:type="dxa"/>
            <w:vAlign w:val="center"/>
          </w:tcPr>
          <w:p w14:paraId="0CEB37A3" w14:textId="5CA5E478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1276" w:type="dxa"/>
            <w:vAlign w:val="center"/>
          </w:tcPr>
          <w:p w14:paraId="36C21373" w14:textId="4265BB72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276" w:type="dxa"/>
            <w:vAlign w:val="center"/>
          </w:tcPr>
          <w:p w14:paraId="4E70F533" w14:textId="05E84E9F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7D4BEC" w:rsidRPr="00DF6351" w14:paraId="2F2BC463" w14:textId="77777777" w:rsidTr="007D4BEC">
        <w:trPr>
          <w:trHeight w:val="284"/>
        </w:trPr>
        <w:tc>
          <w:tcPr>
            <w:tcW w:w="4077" w:type="dxa"/>
            <w:vAlign w:val="center"/>
          </w:tcPr>
          <w:p w14:paraId="41B297C1" w14:textId="77777777" w:rsidR="007D4BEC" w:rsidRPr="00DF6351" w:rsidRDefault="007D4BE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Investitionen in Sachanlagen und immaterielle Vermögenswerte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7B74969C" w14:textId="5BC241A9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215,8</w:t>
            </w:r>
          </w:p>
        </w:tc>
        <w:tc>
          <w:tcPr>
            <w:tcW w:w="1276" w:type="dxa"/>
            <w:vAlign w:val="center"/>
          </w:tcPr>
          <w:p w14:paraId="42C2D429" w14:textId="2784BF1E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1276" w:type="dxa"/>
            <w:vAlign w:val="center"/>
          </w:tcPr>
          <w:p w14:paraId="4751FB8A" w14:textId="3912CDD6" w:rsidR="007D4BEC" w:rsidRPr="007D4BEC" w:rsidRDefault="007D4BEC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+28,1 %</w:t>
            </w:r>
          </w:p>
        </w:tc>
      </w:tr>
      <w:tr w:rsidR="00313CD5" w:rsidRPr="00DF6351" w14:paraId="3FFEEE11" w14:textId="77777777" w:rsidTr="007D4BEC">
        <w:trPr>
          <w:trHeight w:val="284"/>
        </w:trPr>
        <w:tc>
          <w:tcPr>
            <w:tcW w:w="4077" w:type="dxa"/>
            <w:vAlign w:val="center"/>
          </w:tcPr>
          <w:p w14:paraId="56A19235" w14:textId="77777777" w:rsidR="00313CD5" w:rsidRPr="00DF6351" w:rsidRDefault="00313CD5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Mitarbeiter (per 31.12.)</w:t>
            </w:r>
          </w:p>
        </w:tc>
        <w:tc>
          <w:tcPr>
            <w:tcW w:w="1276" w:type="dxa"/>
            <w:vAlign w:val="center"/>
          </w:tcPr>
          <w:p w14:paraId="0F72F012" w14:textId="716F12A9" w:rsidR="00313CD5" w:rsidRPr="007D4BEC" w:rsidRDefault="00313CD5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6</w:t>
            </w:r>
            <w:r w:rsidR="007D4BEC" w:rsidRPr="007D4BEC"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1276" w:type="dxa"/>
            <w:vAlign w:val="center"/>
          </w:tcPr>
          <w:p w14:paraId="47709CD5" w14:textId="5F77964A" w:rsidR="00313CD5" w:rsidRPr="007D4BEC" w:rsidRDefault="00313CD5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61.591</w:t>
            </w:r>
          </w:p>
        </w:tc>
        <w:tc>
          <w:tcPr>
            <w:tcW w:w="1276" w:type="dxa"/>
            <w:vAlign w:val="center"/>
          </w:tcPr>
          <w:p w14:paraId="463D7D5B" w14:textId="44AD4155" w:rsidR="00313CD5" w:rsidRPr="007D4BEC" w:rsidRDefault="00313CD5" w:rsidP="007D4BEC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+</w:t>
            </w:r>
            <w:r w:rsidR="007D4BEC" w:rsidRPr="007D4BEC">
              <w:rPr>
                <w:rFonts w:ascii="Arial" w:hAnsi="Arial" w:cs="Arial"/>
                <w:sz w:val="18"/>
                <w:szCs w:val="18"/>
              </w:rPr>
              <w:t>10,4</w:t>
            </w:r>
            <w:r w:rsidRPr="007D4BE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14:paraId="3DBDC5D6" w14:textId="77777777" w:rsidR="0089546A" w:rsidRDefault="0089546A" w:rsidP="0089546A">
      <w:pPr>
        <w:autoSpaceDE w:val="0"/>
        <w:autoSpaceDN w:val="0"/>
        <w:adjustRightInd w:val="0"/>
        <w:ind w:left="360" w:right="1854"/>
        <w:rPr>
          <w:rFonts w:ascii="Arial" w:hAnsi="Arial" w:cs="Arial"/>
          <w:i/>
          <w:sz w:val="16"/>
          <w:szCs w:val="16"/>
        </w:rPr>
      </w:pPr>
    </w:p>
    <w:p w14:paraId="2AB3FE3A" w14:textId="6FBD1A9C" w:rsidR="0089546A" w:rsidRDefault="001904D1" w:rsidP="00C32C0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284" w:right="1711" w:hanging="284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i/>
          <w:sz w:val="16"/>
          <w:szCs w:val="16"/>
        </w:rPr>
        <w:t xml:space="preserve">Ergebnis bereinigt um die Effekte aus der Neubewertung im Rahmen der Kaufpreisverteilung wesentlicher </w:t>
      </w:r>
      <w:r w:rsidR="0089546A" w:rsidRPr="0089546A">
        <w:rPr>
          <w:rFonts w:ascii="Arial" w:hAnsi="Arial" w:cs="Arial"/>
          <w:i/>
          <w:sz w:val="16"/>
          <w:szCs w:val="16"/>
        </w:rPr>
        <w:t>A</w:t>
      </w:r>
      <w:r w:rsidRPr="0089546A">
        <w:rPr>
          <w:rFonts w:ascii="Arial" w:hAnsi="Arial" w:cs="Arial"/>
          <w:i/>
          <w:sz w:val="16"/>
          <w:szCs w:val="16"/>
        </w:rPr>
        <w:t>kquisitionen, Restrukturierungen, Wertminderungen langfristiger Vermögenswerte, Gewinne aus Unter</w:t>
      </w:r>
      <w:r w:rsidR="0089546A">
        <w:rPr>
          <w:rFonts w:ascii="Arial" w:hAnsi="Arial" w:cs="Arial"/>
          <w:i/>
          <w:sz w:val="16"/>
          <w:szCs w:val="16"/>
        </w:rPr>
        <w:t>-</w:t>
      </w:r>
      <w:proofErr w:type="spellStart"/>
      <w:r w:rsidRPr="0089546A">
        <w:rPr>
          <w:rFonts w:ascii="Arial" w:hAnsi="Arial" w:cs="Arial"/>
          <w:i/>
          <w:sz w:val="16"/>
          <w:szCs w:val="16"/>
        </w:rPr>
        <w:t>nehmensverkäufen</w:t>
      </w:r>
      <w:proofErr w:type="spellEnd"/>
      <w:r w:rsidRPr="0089546A">
        <w:rPr>
          <w:rFonts w:ascii="Arial" w:hAnsi="Arial" w:cs="Arial"/>
          <w:i/>
          <w:sz w:val="16"/>
          <w:szCs w:val="16"/>
        </w:rPr>
        <w:t xml:space="preserve"> und Ergebnisse aus Unternehmenszusammenschlüssen inklusive zugehöriger Derivate</w:t>
      </w:r>
    </w:p>
    <w:p w14:paraId="7463008F" w14:textId="4E265D63" w:rsidR="00C32C07" w:rsidRPr="00313CD5" w:rsidRDefault="005456EE" w:rsidP="00313CD5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284" w:right="1711" w:hanging="284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i/>
          <w:sz w:val="16"/>
          <w:szCs w:val="16"/>
        </w:rPr>
        <w:t>vor Akquisitionen</w:t>
      </w:r>
      <w:r w:rsidR="008176B2" w:rsidRPr="0089546A">
        <w:rPr>
          <w:rFonts w:ascii="Arial" w:hAnsi="Arial" w:cs="Arial"/>
          <w:i/>
          <w:sz w:val="16"/>
          <w:szCs w:val="16"/>
        </w:rPr>
        <w:t xml:space="preserve"> und</w:t>
      </w:r>
      <w:r w:rsidRPr="0089546A">
        <w:rPr>
          <w:rFonts w:ascii="Arial" w:hAnsi="Arial" w:cs="Arial"/>
          <w:i/>
          <w:sz w:val="16"/>
          <w:szCs w:val="16"/>
        </w:rPr>
        <w:t xml:space="preserve"> D</w:t>
      </w:r>
      <w:r w:rsidR="00CE1CD9" w:rsidRPr="0089546A">
        <w:rPr>
          <w:rFonts w:ascii="Arial" w:hAnsi="Arial" w:cs="Arial"/>
          <w:i/>
          <w:sz w:val="16"/>
          <w:szCs w:val="16"/>
        </w:rPr>
        <w:t>esinvestitionen</w:t>
      </w:r>
    </w:p>
    <w:p w14:paraId="31FFCC22" w14:textId="1C6CB135" w:rsidR="005456EE" w:rsidRPr="00B30C8C" w:rsidRDefault="008176B2" w:rsidP="00C32C07">
      <w:pPr>
        <w:pStyle w:val="Listenabsatz"/>
        <w:autoSpaceDE w:val="0"/>
        <w:autoSpaceDN w:val="0"/>
        <w:adjustRightInd w:val="0"/>
        <w:ind w:left="0" w:right="1854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i/>
          <w:sz w:val="16"/>
          <w:szCs w:val="16"/>
        </w:rPr>
        <w:br/>
      </w:r>
      <w:r w:rsidR="005456EE" w:rsidRPr="00DF6351">
        <w:rPr>
          <w:sz w:val="36"/>
          <w:szCs w:val="36"/>
        </w:rPr>
        <w:sym w:font="Wingdings" w:char="F046"/>
      </w:r>
      <w:r w:rsidR="005456EE" w:rsidRPr="0089546A">
        <w:rPr>
          <w:rFonts w:ascii="Arial" w:hAnsi="Arial" w:cs="Arial"/>
          <w:i/>
          <w:sz w:val="20"/>
          <w:szCs w:val="20"/>
        </w:rPr>
        <w:t xml:space="preserve"> </w:t>
      </w:r>
      <w:r w:rsidR="005456EE" w:rsidRPr="00B30C8C">
        <w:rPr>
          <w:rFonts w:ascii="Arial" w:hAnsi="Arial" w:cs="Arial"/>
          <w:i/>
          <w:sz w:val="22"/>
          <w:szCs w:val="22"/>
        </w:rPr>
        <w:t xml:space="preserve">Illustrationsmaterial und weitere Informationen finden Sie </w:t>
      </w:r>
      <w:r w:rsidR="00E37AAC" w:rsidRPr="00B30C8C">
        <w:rPr>
          <w:rFonts w:ascii="Arial" w:hAnsi="Arial" w:cs="Arial"/>
          <w:i/>
          <w:sz w:val="22"/>
          <w:szCs w:val="22"/>
        </w:rPr>
        <w:t>direkt bei dieser Mitteilung</w:t>
      </w:r>
      <w:r w:rsidR="00E37AAC" w:rsidRPr="00B30C8C">
        <w:rPr>
          <w:rFonts w:ascii="Arial" w:hAnsi="Arial" w:cs="Arial"/>
          <w:i/>
          <w:sz w:val="21"/>
          <w:szCs w:val="21"/>
        </w:rPr>
        <w:t xml:space="preserve"> </w:t>
      </w:r>
      <w:r w:rsidR="005456EE" w:rsidRPr="00B30C8C">
        <w:rPr>
          <w:rFonts w:ascii="Arial" w:hAnsi="Arial" w:cs="Arial"/>
          <w:i/>
          <w:sz w:val="22"/>
          <w:szCs w:val="22"/>
        </w:rPr>
        <w:t xml:space="preserve">unter </w:t>
      </w:r>
      <w:hyperlink r:id="rId9" w:history="1">
        <w:r w:rsidR="00E37AAC" w:rsidRPr="007923E9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www.leoni.com/de/presse/mitteilungen/details/leoni-investiert-nochmals-kraeftig-in-globale-expansion/</w:t>
        </w:r>
      </w:hyperlink>
      <w:r w:rsidR="00E37AAC">
        <w:rPr>
          <w:rStyle w:val="Hyperlink"/>
          <w:rFonts w:ascii="Arial" w:hAnsi="Arial" w:cs="Arial"/>
          <w:i/>
          <w:sz w:val="22"/>
          <w:szCs w:val="22"/>
        </w:rPr>
        <w:t xml:space="preserve"> </w:t>
      </w:r>
      <w:r w:rsidR="00274295" w:rsidRPr="00B30C8C">
        <w:rPr>
          <w:rFonts w:ascii="Arial" w:hAnsi="Arial" w:cs="Arial"/>
          <w:i/>
          <w:sz w:val="22"/>
          <w:szCs w:val="22"/>
        </w:rPr>
        <w:t xml:space="preserve"> </w:t>
      </w:r>
    </w:p>
    <w:p w14:paraId="3D46F28B" w14:textId="5ACEEBE1" w:rsidR="00DF6351" w:rsidRPr="00F9437E" w:rsidRDefault="005456EE" w:rsidP="00C32C07">
      <w:pPr>
        <w:ind w:right="1852"/>
        <w:rPr>
          <w:rFonts w:ascii="Arial" w:hAnsi="Arial" w:cs="Arial"/>
          <w:i/>
          <w:sz w:val="21"/>
          <w:szCs w:val="21"/>
        </w:rPr>
      </w:pPr>
      <w:r w:rsidRPr="00B30C8C">
        <w:rPr>
          <w:rFonts w:ascii="Arial" w:hAnsi="Arial" w:cs="Arial"/>
          <w:sz w:val="36"/>
          <w:szCs w:val="36"/>
        </w:rPr>
        <w:sym w:font="Wingdings" w:char="F046"/>
      </w:r>
      <w:r w:rsidRPr="00B30C8C">
        <w:rPr>
          <w:rFonts w:ascii="Arial" w:hAnsi="Arial" w:cs="Arial"/>
          <w:i/>
          <w:sz w:val="20"/>
          <w:szCs w:val="20"/>
        </w:rPr>
        <w:t xml:space="preserve"> </w:t>
      </w:r>
      <w:r w:rsidRPr="00B30C8C">
        <w:rPr>
          <w:rFonts w:ascii="Arial" w:hAnsi="Arial" w:cs="Arial"/>
          <w:i/>
          <w:sz w:val="22"/>
          <w:szCs w:val="22"/>
        </w:rPr>
        <w:t xml:space="preserve">Den vollständigen Geschäftsbericht können Sie herunterladen unter </w:t>
      </w:r>
      <w:hyperlink r:id="rId10" w:history="1">
        <w:r w:rsidR="00E37AAC" w:rsidRPr="007923E9">
          <w:rPr>
            <w:rStyle w:val="Hyperlink"/>
            <w:rFonts w:ascii="Arial" w:hAnsi="Arial" w:cs="Arial"/>
            <w:i/>
            <w:sz w:val="22"/>
            <w:szCs w:val="22"/>
          </w:rPr>
          <w:t>www.leoni.com/de/finanzpublikationen</w:t>
        </w:r>
      </w:hyperlink>
      <w:r w:rsidR="00DF6351" w:rsidRPr="00DF6351">
        <w:rPr>
          <w:rFonts w:ascii="Arial" w:hAnsi="Arial" w:cs="Arial"/>
          <w:i/>
          <w:sz w:val="21"/>
          <w:szCs w:val="21"/>
        </w:rPr>
        <w:t xml:space="preserve"> </w:t>
      </w:r>
    </w:p>
    <w:p w14:paraId="65D38F31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00293CB2" w14:textId="6F54B820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540F3D">
        <w:t>rund 6</w:t>
      </w:r>
      <w:r w:rsidR="00281258">
        <w:t>8</w:t>
      </w:r>
      <w:r w:rsidR="008E7760" w:rsidRPr="006D36F9">
        <w:t>.000 Mitarbeiter in 3</w:t>
      </w:r>
      <w:r w:rsidR="00281258">
        <w:t>1</w:t>
      </w:r>
      <w:r w:rsidR="008E7760" w:rsidRPr="006D36F9">
        <w:t xml:space="preserve"> Ländern und erzielte 20</w:t>
      </w:r>
      <w:r w:rsidR="00977A5F" w:rsidRPr="006D36F9">
        <w:t>1</w:t>
      </w:r>
      <w:r w:rsidR="00281258">
        <w:t>4</w:t>
      </w:r>
      <w:r w:rsidR="008E7760" w:rsidRPr="006D36F9">
        <w:t xml:space="preserve"> einen Konzernumsatz von </w:t>
      </w:r>
      <w:r w:rsidR="00281258">
        <w:t>4,1</w:t>
      </w:r>
      <w:r w:rsidR="008E7760" w:rsidRPr="006D36F9">
        <w:t xml:space="preserve"> Mrd. Euro</w:t>
      </w:r>
      <w:r w:rsidRPr="006D36F9">
        <w:t>.</w:t>
      </w:r>
    </w:p>
    <w:p w14:paraId="490A2FBC" w14:textId="77777777" w:rsidR="00E569A0" w:rsidRPr="00E37AAC" w:rsidRDefault="00E569A0" w:rsidP="00E569A0">
      <w:pPr>
        <w:pStyle w:val="MMKurzprofil"/>
        <w:rPr>
          <w:sz w:val="8"/>
          <w:szCs w:val="8"/>
        </w:rPr>
      </w:pPr>
    </w:p>
    <w:p w14:paraId="26D62C8C" w14:textId="77777777"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61F001C4" wp14:editId="4F8097C4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34B1E29" wp14:editId="43D0CA36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B248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67FF2934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42DCA0CF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2512003D" w14:textId="77777777" w:rsidR="009613DC" w:rsidRPr="006D36F9" w:rsidRDefault="009613DC" w:rsidP="006D36F9">
      <w:pPr>
        <w:pStyle w:val="MMKurzprofil"/>
      </w:pPr>
      <w:r>
        <w:t>LEONI AG</w:t>
      </w:r>
    </w:p>
    <w:p w14:paraId="3E9FF23C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191CCBF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00CA0A0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422C" w14:textId="77777777" w:rsidR="004803C6" w:rsidRPr="00A44C71" w:rsidRDefault="004803C6">
      <w:pPr>
        <w:rPr>
          <w:sz w:val="16"/>
        </w:rPr>
      </w:pPr>
      <w:r>
        <w:separator/>
      </w:r>
    </w:p>
  </w:endnote>
  <w:endnote w:type="continuationSeparator" w:id="0">
    <w:p w14:paraId="0EFBD60D" w14:textId="77777777" w:rsidR="004803C6" w:rsidRPr="00A44C71" w:rsidRDefault="004803C6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Andale Mono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6C97" w14:textId="77777777" w:rsidR="004803C6" w:rsidRPr="009A05EE" w:rsidRDefault="004803C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65565">
      <w:rPr>
        <w:rStyle w:val="Seitenzahl"/>
        <w:rFonts w:ascii="Arial" w:hAnsi="Arial" w:cs="Arial"/>
        <w:i/>
        <w:noProof/>
        <w:sz w:val="16"/>
        <w:szCs w:val="16"/>
      </w:rPr>
      <w:t>5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65565">
      <w:rPr>
        <w:rStyle w:val="Seitenzahl"/>
        <w:rFonts w:ascii="Arial" w:hAnsi="Arial" w:cs="Arial"/>
        <w:i/>
        <w:noProof/>
        <w:sz w:val="16"/>
        <w:szCs w:val="16"/>
      </w:rPr>
      <w:t>5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48B0B4AC" w14:textId="77777777" w:rsidR="004803C6" w:rsidRPr="009F6805" w:rsidRDefault="004803C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BB85" w14:textId="77777777" w:rsidR="004803C6" w:rsidRPr="00406709" w:rsidRDefault="004803C6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3369AEB1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785F79D0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01D125A4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4F9DA878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14:paraId="6E54DDA8" w14:textId="77777777" w:rsidR="004803C6" w:rsidRDefault="004803C6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3FC0" w14:textId="77777777" w:rsidR="004803C6" w:rsidRPr="00A44C71" w:rsidRDefault="004803C6">
      <w:pPr>
        <w:rPr>
          <w:sz w:val="16"/>
        </w:rPr>
      </w:pPr>
      <w:r>
        <w:separator/>
      </w:r>
    </w:p>
  </w:footnote>
  <w:footnote w:type="continuationSeparator" w:id="0">
    <w:p w14:paraId="2361AB7F" w14:textId="77777777" w:rsidR="004803C6" w:rsidRPr="00A44C71" w:rsidRDefault="004803C6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A3EA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19B4FB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E4D846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9A733CF" wp14:editId="2E7B73AD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E5A36" w14:textId="77777777" w:rsidR="004803C6" w:rsidRDefault="004803C6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033792D3" w14:textId="37CB77DB" w:rsidR="004803C6" w:rsidRPr="006D36F9" w:rsidRDefault="00027F25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PRESSEMITTEILUNG</w:t>
    </w:r>
  </w:p>
  <w:p w14:paraId="06086DE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C6C710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385ED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89C2C9E" w14:textId="77777777" w:rsidR="004803C6" w:rsidRPr="006F0BE8" w:rsidRDefault="004803C6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3D9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6405679A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E645D0E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B52C15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0CF3B7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11187C4" wp14:editId="289254D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8DB15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F699DD4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51D8A8C1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FCECCAD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B8EFD83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7A05D6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27E7"/>
    <w:multiLevelType w:val="hybridMultilevel"/>
    <w:tmpl w:val="E6CCA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3473"/>
    <w:multiLevelType w:val="hybridMultilevel"/>
    <w:tmpl w:val="83B89C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355"/>
    <w:rsid w:val="00006D33"/>
    <w:rsid w:val="000079E4"/>
    <w:rsid w:val="00013A64"/>
    <w:rsid w:val="0001653D"/>
    <w:rsid w:val="0002408F"/>
    <w:rsid w:val="00025061"/>
    <w:rsid w:val="00026A19"/>
    <w:rsid w:val="00027F25"/>
    <w:rsid w:val="000453F9"/>
    <w:rsid w:val="000671BD"/>
    <w:rsid w:val="00072185"/>
    <w:rsid w:val="00077B36"/>
    <w:rsid w:val="00077D0C"/>
    <w:rsid w:val="00091053"/>
    <w:rsid w:val="00091657"/>
    <w:rsid w:val="0009633F"/>
    <w:rsid w:val="000A0089"/>
    <w:rsid w:val="000A0822"/>
    <w:rsid w:val="000A32BC"/>
    <w:rsid w:val="000A50AC"/>
    <w:rsid w:val="000A7B89"/>
    <w:rsid w:val="000B3BF8"/>
    <w:rsid w:val="000B3D4A"/>
    <w:rsid w:val="000B5865"/>
    <w:rsid w:val="000B763A"/>
    <w:rsid w:val="000C02B1"/>
    <w:rsid w:val="000E5816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3DEA"/>
    <w:rsid w:val="00134E77"/>
    <w:rsid w:val="00141D22"/>
    <w:rsid w:val="001454B6"/>
    <w:rsid w:val="00151D75"/>
    <w:rsid w:val="00152D54"/>
    <w:rsid w:val="001557B0"/>
    <w:rsid w:val="00157707"/>
    <w:rsid w:val="00157C54"/>
    <w:rsid w:val="00163BF2"/>
    <w:rsid w:val="00172DBF"/>
    <w:rsid w:val="001734DC"/>
    <w:rsid w:val="00184530"/>
    <w:rsid w:val="0018564D"/>
    <w:rsid w:val="001904D1"/>
    <w:rsid w:val="001917D1"/>
    <w:rsid w:val="001A26F1"/>
    <w:rsid w:val="001A2D37"/>
    <w:rsid w:val="001B621B"/>
    <w:rsid w:val="001C0CC3"/>
    <w:rsid w:val="001C7543"/>
    <w:rsid w:val="001D1868"/>
    <w:rsid w:val="001D2CDB"/>
    <w:rsid w:val="001F1C6E"/>
    <w:rsid w:val="00205474"/>
    <w:rsid w:val="00207FC6"/>
    <w:rsid w:val="00210A16"/>
    <w:rsid w:val="00211D05"/>
    <w:rsid w:val="00212EE8"/>
    <w:rsid w:val="002317DC"/>
    <w:rsid w:val="00240866"/>
    <w:rsid w:val="00245C9E"/>
    <w:rsid w:val="00260A78"/>
    <w:rsid w:val="002630D8"/>
    <w:rsid w:val="00264325"/>
    <w:rsid w:val="00271757"/>
    <w:rsid w:val="00274295"/>
    <w:rsid w:val="00274BF6"/>
    <w:rsid w:val="00281258"/>
    <w:rsid w:val="002929B6"/>
    <w:rsid w:val="002956A9"/>
    <w:rsid w:val="0029603C"/>
    <w:rsid w:val="002A37A2"/>
    <w:rsid w:val="002A4D33"/>
    <w:rsid w:val="002A71D3"/>
    <w:rsid w:val="002B325C"/>
    <w:rsid w:val="002B68C4"/>
    <w:rsid w:val="002B7AC7"/>
    <w:rsid w:val="002B7BFA"/>
    <w:rsid w:val="002C118D"/>
    <w:rsid w:val="002C2359"/>
    <w:rsid w:val="002D3B75"/>
    <w:rsid w:val="003118F1"/>
    <w:rsid w:val="00313CD5"/>
    <w:rsid w:val="00315FE3"/>
    <w:rsid w:val="00316E24"/>
    <w:rsid w:val="00320044"/>
    <w:rsid w:val="003237A6"/>
    <w:rsid w:val="0034052F"/>
    <w:rsid w:val="00340E9C"/>
    <w:rsid w:val="003527A8"/>
    <w:rsid w:val="00356E80"/>
    <w:rsid w:val="00361CF2"/>
    <w:rsid w:val="00362050"/>
    <w:rsid w:val="00364DCD"/>
    <w:rsid w:val="00365E12"/>
    <w:rsid w:val="00382198"/>
    <w:rsid w:val="00397AC4"/>
    <w:rsid w:val="003B48A6"/>
    <w:rsid w:val="003C6AAE"/>
    <w:rsid w:val="003D216E"/>
    <w:rsid w:val="003D2799"/>
    <w:rsid w:val="003D4F5D"/>
    <w:rsid w:val="003E43B4"/>
    <w:rsid w:val="003E4B96"/>
    <w:rsid w:val="003E50A5"/>
    <w:rsid w:val="003F1AB5"/>
    <w:rsid w:val="003F74D0"/>
    <w:rsid w:val="00404468"/>
    <w:rsid w:val="00420BD0"/>
    <w:rsid w:val="00432245"/>
    <w:rsid w:val="00441011"/>
    <w:rsid w:val="00441012"/>
    <w:rsid w:val="00441963"/>
    <w:rsid w:val="0044413D"/>
    <w:rsid w:val="00446315"/>
    <w:rsid w:val="0045071B"/>
    <w:rsid w:val="004547BF"/>
    <w:rsid w:val="00473340"/>
    <w:rsid w:val="00473E7D"/>
    <w:rsid w:val="00476B0F"/>
    <w:rsid w:val="004803C6"/>
    <w:rsid w:val="00482296"/>
    <w:rsid w:val="004826F0"/>
    <w:rsid w:val="0049418D"/>
    <w:rsid w:val="004A1653"/>
    <w:rsid w:val="004A2754"/>
    <w:rsid w:val="004A457B"/>
    <w:rsid w:val="004B0623"/>
    <w:rsid w:val="004B0672"/>
    <w:rsid w:val="004B3DB8"/>
    <w:rsid w:val="004B4584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14260"/>
    <w:rsid w:val="00516B60"/>
    <w:rsid w:val="0052538C"/>
    <w:rsid w:val="005258BF"/>
    <w:rsid w:val="00526F46"/>
    <w:rsid w:val="0052757E"/>
    <w:rsid w:val="005302CE"/>
    <w:rsid w:val="00533F65"/>
    <w:rsid w:val="00540F3D"/>
    <w:rsid w:val="00543C34"/>
    <w:rsid w:val="005448AB"/>
    <w:rsid w:val="005456EE"/>
    <w:rsid w:val="00547D6D"/>
    <w:rsid w:val="00553180"/>
    <w:rsid w:val="00560D63"/>
    <w:rsid w:val="00560E65"/>
    <w:rsid w:val="00585319"/>
    <w:rsid w:val="005B227D"/>
    <w:rsid w:val="005B4DC3"/>
    <w:rsid w:val="005B5619"/>
    <w:rsid w:val="005C5351"/>
    <w:rsid w:val="005D4C87"/>
    <w:rsid w:val="005D550E"/>
    <w:rsid w:val="005D6FB1"/>
    <w:rsid w:val="005E0BBB"/>
    <w:rsid w:val="005F3581"/>
    <w:rsid w:val="005F5E8B"/>
    <w:rsid w:val="00600E53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F0B"/>
    <w:rsid w:val="00664A24"/>
    <w:rsid w:val="0067639A"/>
    <w:rsid w:val="00683EF3"/>
    <w:rsid w:val="006909D0"/>
    <w:rsid w:val="00691AA8"/>
    <w:rsid w:val="006A76CA"/>
    <w:rsid w:val="006B37F1"/>
    <w:rsid w:val="006C5546"/>
    <w:rsid w:val="006C5B9E"/>
    <w:rsid w:val="006C6A78"/>
    <w:rsid w:val="006D36F9"/>
    <w:rsid w:val="006E0029"/>
    <w:rsid w:val="006E40AC"/>
    <w:rsid w:val="006F0BE8"/>
    <w:rsid w:val="006F435B"/>
    <w:rsid w:val="006F4393"/>
    <w:rsid w:val="006F49FA"/>
    <w:rsid w:val="006F78FE"/>
    <w:rsid w:val="00712909"/>
    <w:rsid w:val="00720539"/>
    <w:rsid w:val="00721853"/>
    <w:rsid w:val="00726628"/>
    <w:rsid w:val="007420F8"/>
    <w:rsid w:val="00742E26"/>
    <w:rsid w:val="00746469"/>
    <w:rsid w:val="0075567E"/>
    <w:rsid w:val="00765E37"/>
    <w:rsid w:val="00772C01"/>
    <w:rsid w:val="007747B6"/>
    <w:rsid w:val="00783025"/>
    <w:rsid w:val="00783A5E"/>
    <w:rsid w:val="007864F1"/>
    <w:rsid w:val="00793DE9"/>
    <w:rsid w:val="00794757"/>
    <w:rsid w:val="007C3759"/>
    <w:rsid w:val="007D4BEC"/>
    <w:rsid w:val="007D765B"/>
    <w:rsid w:val="007D7D60"/>
    <w:rsid w:val="007F3212"/>
    <w:rsid w:val="008045E1"/>
    <w:rsid w:val="008176B2"/>
    <w:rsid w:val="00821BA4"/>
    <w:rsid w:val="0083522C"/>
    <w:rsid w:val="008446CD"/>
    <w:rsid w:val="00862325"/>
    <w:rsid w:val="008657FE"/>
    <w:rsid w:val="00883645"/>
    <w:rsid w:val="008920B0"/>
    <w:rsid w:val="0089546A"/>
    <w:rsid w:val="008A424F"/>
    <w:rsid w:val="008B1883"/>
    <w:rsid w:val="008B40A3"/>
    <w:rsid w:val="008B617B"/>
    <w:rsid w:val="008C2253"/>
    <w:rsid w:val="008D26BA"/>
    <w:rsid w:val="008D5F1D"/>
    <w:rsid w:val="008D6717"/>
    <w:rsid w:val="008E1582"/>
    <w:rsid w:val="008E7760"/>
    <w:rsid w:val="008F5F48"/>
    <w:rsid w:val="0090422E"/>
    <w:rsid w:val="00906898"/>
    <w:rsid w:val="00920CF3"/>
    <w:rsid w:val="00921AB7"/>
    <w:rsid w:val="00936962"/>
    <w:rsid w:val="0094334C"/>
    <w:rsid w:val="00951375"/>
    <w:rsid w:val="009613DC"/>
    <w:rsid w:val="00961415"/>
    <w:rsid w:val="00962661"/>
    <w:rsid w:val="00964044"/>
    <w:rsid w:val="00966BBB"/>
    <w:rsid w:val="00967E91"/>
    <w:rsid w:val="009714B0"/>
    <w:rsid w:val="00971DD9"/>
    <w:rsid w:val="00977A5F"/>
    <w:rsid w:val="00977A87"/>
    <w:rsid w:val="00984F8E"/>
    <w:rsid w:val="0098756C"/>
    <w:rsid w:val="00990335"/>
    <w:rsid w:val="00995F0D"/>
    <w:rsid w:val="009A05EE"/>
    <w:rsid w:val="009A1070"/>
    <w:rsid w:val="009A48B0"/>
    <w:rsid w:val="009B48FF"/>
    <w:rsid w:val="009B564D"/>
    <w:rsid w:val="009B7ECB"/>
    <w:rsid w:val="009C6B13"/>
    <w:rsid w:val="009E0942"/>
    <w:rsid w:val="009E188F"/>
    <w:rsid w:val="009E32AD"/>
    <w:rsid w:val="009F1142"/>
    <w:rsid w:val="009F6805"/>
    <w:rsid w:val="009F752B"/>
    <w:rsid w:val="00A12538"/>
    <w:rsid w:val="00A23768"/>
    <w:rsid w:val="00A27173"/>
    <w:rsid w:val="00A34AA7"/>
    <w:rsid w:val="00A3721C"/>
    <w:rsid w:val="00A54DDA"/>
    <w:rsid w:val="00A63DF9"/>
    <w:rsid w:val="00A641D9"/>
    <w:rsid w:val="00A643F8"/>
    <w:rsid w:val="00A66992"/>
    <w:rsid w:val="00A708D7"/>
    <w:rsid w:val="00A76415"/>
    <w:rsid w:val="00A77BFE"/>
    <w:rsid w:val="00AA09F4"/>
    <w:rsid w:val="00AA2A8D"/>
    <w:rsid w:val="00AA4C14"/>
    <w:rsid w:val="00AB1994"/>
    <w:rsid w:val="00AC17F0"/>
    <w:rsid w:val="00AC2AE0"/>
    <w:rsid w:val="00AC7A23"/>
    <w:rsid w:val="00AD3E26"/>
    <w:rsid w:val="00AE1DF1"/>
    <w:rsid w:val="00AE425A"/>
    <w:rsid w:val="00AE43B7"/>
    <w:rsid w:val="00AF0A61"/>
    <w:rsid w:val="00AF1913"/>
    <w:rsid w:val="00B1340F"/>
    <w:rsid w:val="00B139E4"/>
    <w:rsid w:val="00B164DD"/>
    <w:rsid w:val="00B270D9"/>
    <w:rsid w:val="00B30C8C"/>
    <w:rsid w:val="00B3540F"/>
    <w:rsid w:val="00B45E40"/>
    <w:rsid w:val="00B466F2"/>
    <w:rsid w:val="00B57BC8"/>
    <w:rsid w:val="00B653FB"/>
    <w:rsid w:val="00B6668B"/>
    <w:rsid w:val="00B67561"/>
    <w:rsid w:val="00B70B1A"/>
    <w:rsid w:val="00B71C6F"/>
    <w:rsid w:val="00B7428E"/>
    <w:rsid w:val="00B96DE2"/>
    <w:rsid w:val="00B97F01"/>
    <w:rsid w:val="00BA0052"/>
    <w:rsid w:val="00BB1A73"/>
    <w:rsid w:val="00BB3C30"/>
    <w:rsid w:val="00BC5FE7"/>
    <w:rsid w:val="00BD22AC"/>
    <w:rsid w:val="00BD2643"/>
    <w:rsid w:val="00BD4058"/>
    <w:rsid w:val="00BD64D4"/>
    <w:rsid w:val="00BE568B"/>
    <w:rsid w:val="00BE78C2"/>
    <w:rsid w:val="00BF4F29"/>
    <w:rsid w:val="00BF5681"/>
    <w:rsid w:val="00BF7DEC"/>
    <w:rsid w:val="00C019EB"/>
    <w:rsid w:val="00C03D20"/>
    <w:rsid w:val="00C108BC"/>
    <w:rsid w:val="00C11645"/>
    <w:rsid w:val="00C1516A"/>
    <w:rsid w:val="00C16450"/>
    <w:rsid w:val="00C32C07"/>
    <w:rsid w:val="00C34BE7"/>
    <w:rsid w:val="00C428F9"/>
    <w:rsid w:val="00C4480F"/>
    <w:rsid w:val="00C4636C"/>
    <w:rsid w:val="00C5776E"/>
    <w:rsid w:val="00C6770A"/>
    <w:rsid w:val="00C70F49"/>
    <w:rsid w:val="00C7427E"/>
    <w:rsid w:val="00C764E9"/>
    <w:rsid w:val="00C900A9"/>
    <w:rsid w:val="00C95498"/>
    <w:rsid w:val="00C96EBA"/>
    <w:rsid w:val="00CA02F5"/>
    <w:rsid w:val="00CA481B"/>
    <w:rsid w:val="00CA4B57"/>
    <w:rsid w:val="00CA5B41"/>
    <w:rsid w:val="00CC7504"/>
    <w:rsid w:val="00CE1CD9"/>
    <w:rsid w:val="00CF6078"/>
    <w:rsid w:val="00D04407"/>
    <w:rsid w:val="00D1225B"/>
    <w:rsid w:val="00D15735"/>
    <w:rsid w:val="00D22ED7"/>
    <w:rsid w:val="00D313F7"/>
    <w:rsid w:val="00D413F1"/>
    <w:rsid w:val="00D47FA5"/>
    <w:rsid w:val="00D508A6"/>
    <w:rsid w:val="00D5108C"/>
    <w:rsid w:val="00D5605B"/>
    <w:rsid w:val="00D6261E"/>
    <w:rsid w:val="00D65513"/>
    <w:rsid w:val="00D65565"/>
    <w:rsid w:val="00D700B9"/>
    <w:rsid w:val="00D738A7"/>
    <w:rsid w:val="00D74838"/>
    <w:rsid w:val="00D80DBE"/>
    <w:rsid w:val="00D90D76"/>
    <w:rsid w:val="00DA49A1"/>
    <w:rsid w:val="00DB2E93"/>
    <w:rsid w:val="00DC2CC0"/>
    <w:rsid w:val="00DD4C71"/>
    <w:rsid w:val="00DD5149"/>
    <w:rsid w:val="00DD67C1"/>
    <w:rsid w:val="00DE590C"/>
    <w:rsid w:val="00DF47A8"/>
    <w:rsid w:val="00DF6351"/>
    <w:rsid w:val="00E01673"/>
    <w:rsid w:val="00E02B7A"/>
    <w:rsid w:val="00E07055"/>
    <w:rsid w:val="00E21EAD"/>
    <w:rsid w:val="00E2445B"/>
    <w:rsid w:val="00E33130"/>
    <w:rsid w:val="00E358C1"/>
    <w:rsid w:val="00E37AAC"/>
    <w:rsid w:val="00E436DA"/>
    <w:rsid w:val="00E43922"/>
    <w:rsid w:val="00E45475"/>
    <w:rsid w:val="00E51DA4"/>
    <w:rsid w:val="00E53639"/>
    <w:rsid w:val="00E569A0"/>
    <w:rsid w:val="00E76BA0"/>
    <w:rsid w:val="00E868B2"/>
    <w:rsid w:val="00E93051"/>
    <w:rsid w:val="00EA565B"/>
    <w:rsid w:val="00EB524C"/>
    <w:rsid w:val="00EC0A0C"/>
    <w:rsid w:val="00EC0E74"/>
    <w:rsid w:val="00EC6520"/>
    <w:rsid w:val="00ED1040"/>
    <w:rsid w:val="00ED47BD"/>
    <w:rsid w:val="00EE24A0"/>
    <w:rsid w:val="00EE3329"/>
    <w:rsid w:val="00EF3F55"/>
    <w:rsid w:val="00F1236C"/>
    <w:rsid w:val="00F21EA0"/>
    <w:rsid w:val="00F37865"/>
    <w:rsid w:val="00F45D66"/>
    <w:rsid w:val="00F6392A"/>
    <w:rsid w:val="00F67138"/>
    <w:rsid w:val="00F737A1"/>
    <w:rsid w:val="00F73C92"/>
    <w:rsid w:val="00F77BB5"/>
    <w:rsid w:val="00F80249"/>
    <w:rsid w:val="00F90257"/>
    <w:rsid w:val="00F91FB0"/>
    <w:rsid w:val="00F9437E"/>
    <w:rsid w:val="00F955C9"/>
    <w:rsid w:val="00FB5D6E"/>
    <w:rsid w:val="00FC2BA4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25B9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de/finanzpublikation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investiert-nochmals-kraeftig-in-globale-expansion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1205-3F22-4E6B-B8FA-EC984C5E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Pressemitteilungen</vt:lpstr>
    </vt:vector>
  </TitlesOfParts>
  <Manager>Sven Schmidt</Manager>
  <Company>LEONI</Company>
  <LinksUpToDate>false</LinksUpToDate>
  <CharactersWithSpaces>9689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Pressemitteilungen</dc:title>
  <dc:creator>Corporate Communications</dc:creator>
  <cp:lastModifiedBy>Schmidt, Sven</cp:lastModifiedBy>
  <cp:revision>2</cp:revision>
  <cp:lastPrinted>2015-03-13T08:34:00Z</cp:lastPrinted>
  <dcterms:created xsi:type="dcterms:W3CDTF">2015-03-13T11:46:00Z</dcterms:created>
  <dcterms:modified xsi:type="dcterms:W3CDTF">2015-03-13T11:46:00Z</dcterms:modified>
</cp:coreProperties>
</file>