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0" w:rsidRPr="00E20B96" w:rsidRDefault="006072F0" w:rsidP="006072F0">
      <w:pPr>
        <w:pStyle w:val="MMU1"/>
        <w:rPr>
          <w:bCs w:val="0"/>
          <w:szCs w:val="24"/>
          <w:lang w:val="en-US"/>
        </w:rPr>
      </w:pPr>
      <w:proofErr w:type="spellStart"/>
      <w:r>
        <w:rPr>
          <w:bCs w:val="0"/>
          <w:szCs w:val="24"/>
          <w:lang w:val="en-GB"/>
        </w:rPr>
        <w:t>Leoni</w:t>
      </w:r>
      <w:proofErr w:type="spellEnd"/>
      <w:r>
        <w:rPr>
          <w:bCs w:val="0"/>
          <w:szCs w:val="24"/>
          <w:lang w:val="en-GB"/>
        </w:rPr>
        <w:t xml:space="preserve"> with a new sales high in the first quarter of 2015</w:t>
      </w:r>
    </w:p>
    <w:p w:rsidR="006072F0" w:rsidRPr="00E20B96" w:rsidRDefault="006072F0" w:rsidP="006072F0">
      <w:pPr>
        <w:pStyle w:val="MMU2"/>
        <w:rPr>
          <w:rFonts w:cs="Times New Roman"/>
          <w:lang w:val="en-US"/>
        </w:rPr>
      </w:pPr>
      <w:r>
        <w:rPr>
          <w:rFonts w:cs="Times New Roman"/>
        </w:rPr>
        <w:t xml:space="preserve">Pre-production costs weigh on earnings – </w:t>
      </w:r>
      <w:r>
        <w:rPr>
          <w:rFonts w:cs="Times New Roman"/>
        </w:rPr>
        <w:t>F</w:t>
      </w:r>
      <w:r>
        <w:rPr>
          <w:rFonts w:cs="Times New Roman"/>
        </w:rPr>
        <w:t xml:space="preserve">orecast reaffirmed </w:t>
      </w:r>
    </w:p>
    <w:p w:rsidR="006072F0" w:rsidRPr="00E20B96" w:rsidRDefault="006072F0" w:rsidP="006072F0">
      <w:pPr>
        <w:pStyle w:val="MMVorspann"/>
        <w:rPr>
          <w:rFonts w:cs="Times New Roman"/>
          <w:bCs w:val="0"/>
          <w:szCs w:val="24"/>
          <w:lang w:val="en-US"/>
        </w:rPr>
      </w:pPr>
      <w:r>
        <w:rPr>
          <w:rFonts w:cs="Times New Roman"/>
          <w:bCs w:val="0"/>
          <w:szCs w:val="24"/>
          <w:lang w:val="en-GB"/>
        </w:rPr>
        <w:t xml:space="preserve">Nuremberg, 12 May 2015 – </w:t>
      </w:r>
      <w:proofErr w:type="spellStart"/>
      <w:r>
        <w:rPr>
          <w:rFonts w:cs="Times New Roman"/>
          <w:bCs w:val="0"/>
          <w:szCs w:val="24"/>
          <w:lang w:val="en-GB"/>
        </w:rPr>
        <w:t>Leoni</w:t>
      </w:r>
      <w:proofErr w:type="spellEnd"/>
      <w:r>
        <w:rPr>
          <w:rFonts w:cs="Times New Roman"/>
          <w:bCs w:val="0"/>
          <w:szCs w:val="24"/>
          <w:lang w:val="en-GB"/>
        </w:rPr>
        <w:t>, the leading European provider of cables and cable systems to the automotive sector and other industries, in the first quarter of 2015 increased its consolidated sales by about 9 percent year on year to the new quarterly high of EUR 1,108.8 million (previous year: EUR 1,020.2 million). The Company generated nearly half of this growth from its own resources.</w:t>
      </w:r>
      <w:r w:rsidRPr="00E20B96">
        <w:rPr>
          <w:rFonts w:cs="Times New Roman"/>
          <w:bCs w:val="0"/>
          <w:szCs w:val="24"/>
          <w:lang w:val="en-US"/>
        </w:rPr>
        <w:t xml:space="preserve"> </w:t>
      </w:r>
      <w:r>
        <w:rPr>
          <w:rFonts w:cs="Times New Roman"/>
          <w:bCs w:val="0"/>
          <w:szCs w:val="24"/>
          <w:lang w:val="en-GB"/>
        </w:rPr>
        <w:t>Foreign exchange effects also gave sales a considerable boost, although this was in part offset by negative impact from the decrease in the price of copper.</w:t>
      </w:r>
      <w:r w:rsidRPr="00E20B96">
        <w:rPr>
          <w:rFonts w:cs="Times New Roman"/>
          <w:bCs w:val="0"/>
          <w:szCs w:val="24"/>
          <w:lang w:val="en-US"/>
        </w:rPr>
        <w:t xml:space="preserve"> </w:t>
      </w:r>
      <w:r>
        <w:rPr>
          <w:rFonts w:cs="Times New Roman"/>
          <w:bCs w:val="0"/>
          <w:szCs w:val="24"/>
          <w:lang w:val="en-GB"/>
        </w:rPr>
        <w:t xml:space="preserve">In regional terms, </w:t>
      </w:r>
      <w:proofErr w:type="spellStart"/>
      <w:r>
        <w:rPr>
          <w:rFonts w:cs="Times New Roman"/>
          <w:bCs w:val="0"/>
          <w:szCs w:val="24"/>
          <w:lang w:val="en-GB"/>
        </w:rPr>
        <w:t>Leoni</w:t>
      </w:r>
      <w:proofErr w:type="spellEnd"/>
      <w:r>
        <w:rPr>
          <w:rFonts w:cs="Times New Roman"/>
          <w:bCs w:val="0"/>
          <w:szCs w:val="24"/>
          <w:lang w:val="en-GB"/>
        </w:rPr>
        <w:t xml:space="preserve"> made gains especially in the </w:t>
      </w:r>
      <w:smartTag w:uri="urn:schemas-microsoft-com:office:smarttags" w:element="country-region">
        <w:r>
          <w:rPr>
            <w:rFonts w:cs="Times New Roman"/>
            <w:bCs w:val="0"/>
            <w:szCs w:val="24"/>
            <w:lang w:val="en-GB"/>
          </w:rPr>
          <w:t>Americas</w:t>
        </w:r>
      </w:smartTag>
      <w:r>
        <w:rPr>
          <w:rFonts w:cs="Times New Roman"/>
          <w:bCs w:val="0"/>
          <w:szCs w:val="24"/>
          <w:lang w:val="en-GB"/>
        </w:rPr>
        <w:t xml:space="preserve"> and Asia, but also generated a slight increase in the EMEA (Europe, Middle East and </w:t>
      </w:r>
      <w:smartTag w:uri="urn:schemas-microsoft-com:office:smarttags" w:element="place">
        <w:r>
          <w:rPr>
            <w:rFonts w:cs="Times New Roman"/>
            <w:bCs w:val="0"/>
            <w:szCs w:val="24"/>
            <w:lang w:val="en-GB"/>
          </w:rPr>
          <w:t>Africa</w:t>
        </w:r>
      </w:smartTag>
      <w:r>
        <w:rPr>
          <w:rFonts w:cs="Times New Roman"/>
          <w:bCs w:val="0"/>
          <w:szCs w:val="24"/>
          <w:lang w:val="en-GB"/>
        </w:rPr>
        <w:t>) region.</w:t>
      </w:r>
      <w:r w:rsidRPr="00E20B96">
        <w:rPr>
          <w:rFonts w:cs="Times New Roman"/>
          <w:bCs w:val="0"/>
          <w:szCs w:val="24"/>
          <w:lang w:val="en-US"/>
        </w:rPr>
        <w:t xml:space="preserve"> </w:t>
      </w:r>
    </w:p>
    <w:p w:rsidR="006072F0" w:rsidRPr="006072F0" w:rsidRDefault="006072F0" w:rsidP="006072F0">
      <w:pPr>
        <w:pStyle w:val="MMFlietext"/>
        <w:rPr>
          <w:rFonts w:cs="Times New Roman"/>
          <w:szCs w:val="24"/>
          <w:lang w:val="en-US"/>
        </w:rPr>
      </w:pPr>
      <w:r>
        <w:rPr>
          <w:rFonts w:cs="Times New Roman"/>
          <w:szCs w:val="24"/>
          <w:lang w:val="en-GB"/>
        </w:rPr>
        <w:t xml:space="preserve">The </w:t>
      </w:r>
      <w:proofErr w:type="spellStart"/>
      <w:r>
        <w:rPr>
          <w:rFonts w:cs="Times New Roman"/>
          <w:szCs w:val="24"/>
          <w:lang w:val="en-GB"/>
        </w:rPr>
        <w:t>Leoni</w:t>
      </w:r>
      <w:proofErr w:type="spellEnd"/>
      <w:r>
        <w:rPr>
          <w:rFonts w:cs="Times New Roman"/>
          <w:szCs w:val="24"/>
          <w:lang w:val="en-GB"/>
        </w:rPr>
        <w:t xml:space="preserve"> Group’s earnings before interest and taxes (EBIT) for the period from January to March 2015 were, at EUR 35.2 million, well below the previous year’s good like-for-like figure of EUR 50.6 million.</w:t>
      </w:r>
      <w:r w:rsidRPr="006072F0">
        <w:rPr>
          <w:rFonts w:cs="Times New Roman"/>
          <w:szCs w:val="24"/>
          <w:lang w:val="en-US"/>
        </w:rPr>
        <w:t xml:space="preserve"> </w:t>
      </w:r>
      <w:r>
        <w:rPr>
          <w:rFonts w:cs="Times New Roman"/>
          <w:szCs w:val="24"/>
          <w:lang w:val="en-GB"/>
        </w:rPr>
        <w:t>The Company incurred heavy pre-production and start-up costs during the period under report because of the large number of new projects in the Wiring Systems Division (WSD).</w:t>
      </w:r>
      <w:r w:rsidRPr="006072F0">
        <w:rPr>
          <w:rFonts w:cs="Times New Roman"/>
          <w:szCs w:val="24"/>
          <w:lang w:val="en-US"/>
        </w:rPr>
        <w:t xml:space="preserve"> </w:t>
      </w:r>
      <w:r>
        <w:rPr>
          <w:rFonts w:cs="Times New Roman"/>
          <w:szCs w:val="24"/>
          <w:lang w:val="en-GB"/>
        </w:rPr>
        <w:t>In addition, there were adverse effects due to the weaker infrastructure cables business in the Wire &amp; Cable Solutions Division (WCS).</w:t>
      </w:r>
      <w:r w:rsidRPr="006072F0">
        <w:rPr>
          <w:rFonts w:cs="Times New Roman"/>
          <w:szCs w:val="24"/>
          <w:lang w:val="en-US"/>
        </w:rPr>
        <w:t xml:space="preserve"> </w:t>
      </w:r>
      <w:r>
        <w:rPr>
          <w:rFonts w:cs="Times New Roman"/>
          <w:szCs w:val="24"/>
          <w:lang w:val="en-GB"/>
        </w:rPr>
        <w:t>The earnings situation will improve significantly later in the year thanks primarily to decreasing start-up costs.</w:t>
      </w:r>
      <w:r w:rsidRPr="006072F0">
        <w:rPr>
          <w:rFonts w:cs="Times New Roman"/>
          <w:szCs w:val="24"/>
          <w:lang w:val="en-US"/>
        </w:rPr>
        <w:t xml:space="preserve"> </w:t>
      </w:r>
      <w:r>
        <w:rPr>
          <w:rFonts w:cs="Times New Roman"/>
          <w:szCs w:val="24"/>
          <w:lang w:val="en-GB"/>
        </w:rPr>
        <w:t>First-quarter consolidated net income was down from EUR 31.6 million to EUR 16.8 million.</w:t>
      </w:r>
    </w:p>
    <w:p w:rsidR="006072F0" w:rsidRDefault="006072F0" w:rsidP="006072F0">
      <w:pPr>
        <w:pStyle w:val="MMZwischenberschrift"/>
      </w:pPr>
      <w:r>
        <w:t>WSD: record number of new projects</w:t>
      </w:r>
    </w:p>
    <w:p w:rsidR="006072F0" w:rsidRPr="006072F0" w:rsidRDefault="006072F0" w:rsidP="006072F0">
      <w:pPr>
        <w:pStyle w:val="MMFlietext"/>
        <w:rPr>
          <w:rFonts w:cs="Times New Roman"/>
          <w:szCs w:val="24"/>
          <w:lang w:val="en-US"/>
        </w:rPr>
      </w:pPr>
      <w:r>
        <w:rPr>
          <w:rFonts w:cs="Times New Roman"/>
          <w:szCs w:val="24"/>
          <w:lang w:val="en-GB"/>
        </w:rPr>
        <w:t>Sales in the Wiring Systems Division rose to EUR 653.9 million in the period under report (previous year: EUR 597.7 million).</w:t>
      </w:r>
      <w:r w:rsidRPr="006072F0">
        <w:rPr>
          <w:rFonts w:cs="Times New Roman"/>
          <w:szCs w:val="24"/>
          <w:lang w:val="en-US"/>
        </w:rPr>
        <w:t xml:space="preserve"> </w:t>
      </w:r>
      <w:r>
        <w:rPr>
          <w:rFonts w:cs="Times New Roman"/>
          <w:szCs w:val="24"/>
          <w:lang w:val="en-GB"/>
        </w:rPr>
        <w:t>There was a particularly strong increase in shipments of wiring systems and cable harnesses to the export-heavyweight German premium carmakers.</w:t>
      </w:r>
      <w:r>
        <w:rPr>
          <w:rFonts w:cs="Times New Roman"/>
          <w:szCs w:val="24"/>
          <w:lang w:val="en-GB"/>
        </w:rPr>
        <w:t xml:space="preserve"> </w:t>
      </w:r>
      <w:r>
        <w:rPr>
          <w:rFonts w:cs="Times New Roman"/>
          <w:szCs w:val="24"/>
          <w:lang w:val="en-GB"/>
        </w:rPr>
        <w:t>Sales to American motor vehicle manufacturers and the international commercial vehicle industry were also up significantly.</w:t>
      </w:r>
      <w:r w:rsidRPr="006072F0">
        <w:rPr>
          <w:rFonts w:cs="Times New Roman"/>
          <w:szCs w:val="24"/>
          <w:lang w:val="en-US"/>
        </w:rPr>
        <w:t xml:space="preserve"> </w:t>
      </w:r>
      <w:r>
        <w:rPr>
          <w:rFonts w:cs="Times New Roman"/>
          <w:szCs w:val="24"/>
          <w:lang w:val="en-GB"/>
        </w:rPr>
        <w:t>The amount of business with customers based in other European countries was down, on the other hand, because of the persisting subdued performance of the French car industry.</w:t>
      </w:r>
      <w:r w:rsidRPr="006072F0">
        <w:rPr>
          <w:rFonts w:cs="Times New Roman"/>
          <w:szCs w:val="24"/>
          <w:lang w:val="en-US"/>
        </w:rPr>
        <w:t xml:space="preserve"> </w:t>
      </w:r>
    </w:p>
    <w:p w:rsidR="006072F0" w:rsidRPr="006072F0" w:rsidRDefault="006072F0" w:rsidP="006072F0">
      <w:pPr>
        <w:pStyle w:val="MMFlietext"/>
        <w:rPr>
          <w:rFonts w:cs="Times New Roman"/>
          <w:szCs w:val="24"/>
          <w:lang w:val="en-US"/>
        </w:rPr>
      </w:pPr>
      <w:r>
        <w:rPr>
          <w:rFonts w:cs="Times New Roman"/>
          <w:szCs w:val="24"/>
          <w:lang w:val="en-GB"/>
        </w:rPr>
        <w:lastRenderedPageBreak/>
        <w:t>The Wiring Systems Division started making numerous new products in the first quarter and prepared for further customer projects, which will go into production in the months ahead.</w:t>
      </w:r>
      <w:r w:rsidRPr="006072F0">
        <w:rPr>
          <w:rFonts w:cs="Times New Roman"/>
          <w:szCs w:val="24"/>
          <w:lang w:val="en-US"/>
        </w:rPr>
        <w:t xml:space="preserve"> </w:t>
      </w:r>
      <w:r>
        <w:rPr>
          <w:rFonts w:cs="Times New Roman"/>
          <w:szCs w:val="24"/>
          <w:lang w:val="en-GB"/>
        </w:rPr>
        <w:t>In total, there will be 27 major new WSD project start-ups in 2015, a record number.</w:t>
      </w:r>
      <w:r w:rsidRPr="006072F0">
        <w:rPr>
          <w:rFonts w:cs="Times New Roman"/>
          <w:szCs w:val="24"/>
          <w:lang w:val="en-US"/>
        </w:rPr>
        <w:t xml:space="preserve"> </w:t>
      </w:r>
      <w:r>
        <w:rPr>
          <w:rFonts w:cs="Times New Roman"/>
          <w:szCs w:val="24"/>
          <w:lang w:val="en-GB"/>
        </w:rPr>
        <w:t xml:space="preserve">They will form the basis for the next, big growth surge in the year ahead, but during the </w:t>
      </w:r>
      <w:r w:rsidR="005F7D29">
        <w:rPr>
          <w:rFonts w:cs="Times New Roman"/>
          <w:szCs w:val="24"/>
          <w:lang w:val="en-GB"/>
        </w:rPr>
        <w:t>period</w:t>
      </w:r>
      <w:r>
        <w:rPr>
          <w:rFonts w:cs="Times New Roman"/>
          <w:szCs w:val="24"/>
          <w:lang w:val="en-GB"/>
        </w:rPr>
        <w:t xml:space="preserve"> under report initially incurred heavy pre-production and start-up costs, which will, however, come down significantly as the year progresses.</w:t>
      </w:r>
      <w:r w:rsidRPr="006072F0">
        <w:rPr>
          <w:rFonts w:cs="Times New Roman"/>
          <w:szCs w:val="24"/>
          <w:lang w:val="en-US"/>
        </w:rPr>
        <w:t xml:space="preserve"> </w:t>
      </w:r>
      <w:r>
        <w:rPr>
          <w:rFonts w:cs="Times New Roman"/>
          <w:szCs w:val="24"/>
          <w:lang w:val="en-GB"/>
        </w:rPr>
        <w:t>The division’s EBIT therefore dipped to EUR 17.9 million (previous year: EUR 31.8 million).</w:t>
      </w:r>
      <w:r w:rsidRPr="006072F0">
        <w:rPr>
          <w:rFonts w:cs="Times New Roman"/>
          <w:szCs w:val="24"/>
          <w:lang w:val="en-US"/>
        </w:rPr>
        <w:t xml:space="preserve"> </w:t>
      </w:r>
    </w:p>
    <w:p w:rsidR="006072F0" w:rsidRDefault="006072F0" w:rsidP="006072F0">
      <w:pPr>
        <w:pStyle w:val="MMZwischenberschrift"/>
      </w:pPr>
      <w:r>
        <w:t>WCS: good automotive but weak infrastructure business</w:t>
      </w:r>
    </w:p>
    <w:p w:rsidR="006072F0" w:rsidRPr="006072F0" w:rsidRDefault="006072F0" w:rsidP="006072F0">
      <w:pPr>
        <w:pStyle w:val="MMFlietext"/>
        <w:rPr>
          <w:rFonts w:cs="Times New Roman"/>
          <w:szCs w:val="24"/>
          <w:lang w:val="en-US"/>
        </w:rPr>
      </w:pPr>
      <w:r>
        <w:rPr>
          <w:rFonts w:cs="Times New Roman"/>
          <w:szCs w:val="24"/>
          <w:lang w:val="en-GB"/>
        </w:rPr>
        <w:t>The Wire &amp; Cable Solutions Division (WCS) increased its sales to EUR 454.9 million in the first three months of 2015 (previous year: EUR 422.6 million).</w:t>
      </w:r>
      <w:r w:rsidRPr="006072F0">
        <w:rPr>
          <w:rFonts w:cs="Times New Roman"/>
          <w:szCs w:val="24"/>
          <w:lang w:val="en-US"/>
        </w:rPr>
        <w:t xml:space="preserve"> </w:t>
      </w:r>
      <w:r>
        <w:rPr>
          <w:rFonts w:cs="Times New Roman"/>
          <w:szCs w:val="24"/>
          <w:lang w:val="en-GB"/>
        </w:rPr>
        <w:t xml:space="preserve">This involved persisting, strong demand for automotive cables as well as cable for the robotics and capital goods industries, especially so in Asia and the </w:t>
      </w:r>
      <w:smartTag w:uri="urn:schemas-microsoft-com:office:smarttags" w:element="place">
        <w:smartTag w:uri="urn:schemas-microsoft-com:office:smarttags" w:element="country-region">
          <w:r>
            <w:rPr>
              <w:rFonts w:cs="Times New Roman"/>
              <w:szCs w:val="24"/>
              <w:lang w:val="en-GB"/>
            </w:rPr>
            <w:t>Americas</w:t>
          </w:r>
        </w:smartTag>
      </w:smartTag>
      <w:r>
        <w:rPr>
          <w:rFonts w:cs="Times New Roman"/>
          <w:szCs w:val="24"/>
          <w:lang w:val="en-GB"/>
        </w:rPr>
        <w:t>.</w:t>
      </w:r>
      <w:r w:rsidRPr="006072F0">
        <w:rPr>
          <w:rFonts w:cs="Times New Roman"/>
          <w:szCs w:val="24"/>
          <w:lang w:val="en-US"/>
        </w:rPr>
        <w:t xml:space="preserve"> </w:t>
      </w:r>
      <w:r>
        <w:rPr>
          <w:rFonts w:cs="Times New Roman"/>
          <w:szCs w:val="24"/>
          <w:lang w:val="en-GB"/>
        </w:rPr>
        <w:t>By contrast, business involving infrastructure projects under</w:t>
      </w:r>
      <w:r w:rsidR="005F7D29">
        <w:rPr>
          <w:rFonts w:cs="Times New Roman"/>
          <w:szCs w:val="24"/>
          <w:lang w:val="en-GB"/>
        </w:rPr>
        <w:t>-</w:t>
      </w:r>
      <w:r>
        <w:rPr>
          <w:rFonts w:cs="Times New Roman"/>
          <w:szCs w:val="24"/>
          <w:lang w:val="en-GB"/>
        </w:rPr>
        <w:t>performed expectations because of project delays.</w:t>
      </w:r>
      <w:r w:rsidRPr="006072F0">
        <w:rPr>
          <w:rFonts w:cs="Times New Roman"/>
          <w:szCs w:val="24"/>
          <w:lang w:val="en-US"/>
        </w:rPr>
        <w:t xml:space="preserve"> </w:t>
      </w:r>
      <w:r>
        <w:rPr>
          <w:rFonts w:cs="Times New Roman"/>
          <w:szCs w:val="24"/>
          <w:lang w:val="en-GB"/>
        </w:rPr>
        <w:t>Furthermore, while demand from the oil and gas industry recovered appreciably, the corresponding projects will not benefit sales and earnings until the months ahead.</w:t>
      </w:r>
    </w:p>
    <w:p w:rsidR="006072F0" w:rsidRPr="006072F0" w:rsidRDefault="006072F0" w:rsidP="006072F0">
      <w:pPr>
        <w:pStyle w:val="MMFlietext"/>
        <w:rPr>
          <w:rFonts w:cs="Times New Roman"/>
          <w:szCs w:val="24"/>
          <w:lang w:val="en-US"/>
        </w:rPr>
      </w:pPr>
      <w:r>
        <w:rPr>
          <w:rFonts w:cs="Times New Roman"/>
          <w:szCs w:val="24"/>
          <w:lang w:val="en-GB"/>
        </w:rPr>
        <w:t>Alongside the low degree to which capacity to produce infrastructure cables was utilised, the missing contributions to profit from the still weak petrochemical industry business also weighed on the earnings of the Wire &amp; Cable Solutions Division. The division’s EBIT amounted to EUR 17.0 million (previous year: EUR 18.8 million).</w:t>
      </w:r>
    </w:p>
    <w:p w:rsidR="006072F0" w:rsidRDefault="006072F0" w:rsidP="006072F0">
      <w:pPr>
        <w:pStyle w:val="MMZwischenberschrift"/>
      </w:pPr>
      <w:r>
        <w:t>Investment in additional capacity</w:t>
      </w:r>
    </w:p>
    <w:p w:rsidR="006072F0" w:rsidRPr="006072F0" w:rsidRDefault="006072F0" w:rsidP="006072F0">
      <w:pPr>
        <w:pStyle w:val="MMFlietext"/>
        <w:rPr>
          <w:rFonts w:cs="Times New Roman"/>
          <w:szCs w:val="24"/>
          <w:lang w:val="en-US"/>
        </w:rPr>
      </w:pPr>
      <w:r>
        <w:rPr>
          <w:rFonts w:cs="Times New Roman"/>
          <w:szCs w:val="24"/>
          <w:lang w:val="en-GB"/>
        </w:rPr>
        <w:t xml:space="preserve">In the first quarter of 2015, the </w:t>
      </w:r>
      <w:proofErr w:type="spellStart"/>
      <w:r>
        <w:rPr>
          <w:rFonts w:cs="Times New Roman"/>
          <w:szCs w:val="24"/>
          <w:lang w:val="en-GB"/>
        </w:rPr>
        <w:t>Leoni</w:t>
      </w:r>
      <w:proofErr w:type="spellEnd"/>
      <w:r>
        <w:rPr>
          <w:rFonts w:cs="Times New Roman"/>
          <w:szCs w:val="24"/>
          <w:lang w:val="en-GB"/>
        </w:rPr>
        <w:t xml:space="preserve"> Group increased its capital spending on property, plant and equipment as well as intangible assets by 8.5 percent to EUR 38.1 million (previous year: EUR 35.1 million). The Wiring Systems Division expanded several production facilities in the Americas, North Africa as well as Eastern Europe and started the second phase of extending and modernising its divisional headquarters in </w:t>
      </w:r>
      <w:proofErr w:type="spellStart"/>
      <w:r>
        <w:rPr>
          <w:rFonts w:cs="Times New Roman"/>
          <w:szCs w:val="24"/>
          <w:lang w:val="en-GB"/>
        </w:rPr>
        <w:t>Kitzingen</w:t>
      </w:r>
      <w:proofErr w:type="spellEnd"/>
      <w:r>
        <w:rPr>
          <w:rFonts w:cs="Times New Roman"/>
          <w:szCs w:val="24"/>
          <w:lang w:val="en-GB"/>
        </w:rPr>
        <w:t>.</w:t>
      </w:r>
      <w:r w:rsidRPr="006072F0">
        <w:rPr>
          <w:rFonts w:cs="Times New Roman"/>
          <w:szCs w:val="24"/>
          <w:lang w:val="en-US"/>
        </w:rPr>
        <w:t xml:space="preserve"> </w:t>
      </w:r>
      <w:r>
        <w:rPr>
          <w:rFonts w:cs="Times New Roman"/>
          <w:szCs w:val="24"/>
          <w:lang w:val="en-GB"/>
        </w:rPr>
        <w:t xml:space="preserve">In the Wire &amp; Cable Solutions Division, investment was focused on infrastructure, plant and machinery for two new automotive cable plants in </w:t>
      </w:r>
      <w:smartTag w:uri="urn:schemas-microsoft-com:office:smarttags" w:element="country-region">
        <w:r>
          <w:rPr>
            <w:rFonts w:cs="Times New Roman"/>
            <w:szCs w:val="24"/>
            <w:lang w:val="en-GB"/>
          </w:rPr>
          <w:t>Mexico</w:t>
        </w:r>
      </w:smartTag>
      <w:r>
        <w:rPr>
          <w:rFonts w:cs="Times New Roman"/>
          <w:szCs w:val="24"/>
          <w:lang w:val="en-GB"/>
        </w:rPr>
        <w:t xml:space="preserve"> and </w:t>
      </w:r>
      <w:smartTag w:uri="urn:schemas-microsoft-com:office:smarttags" w:element="country-region">
        <w:r>
          <w:rPr>
            <w:rFonts w:cs="Times New Roman"/>
            <w:szCs w:val="24"/>
            <w:lang w:val="en-GB"/>
          </w:rPr>
          <w:t>China</w:t>
        </w:r>
      </w:smartTag>
      <w:r>
        <w:rPr>
          <w:rFonts w:cs="Times New Roman"/>
          <w:szCs w:val="24"/>
          <w:lang w:val="en-GB"/>
        </w:rPr>
        <w:t xml:space="preserve"> as well as a special cables production line in </w:t>
      </w:r>
      <w:smartTag w:uri="urn:schemas-microsoft-com:office:smarttags" w:element="place">
        <w:r>
          <w:rPr>
            <w:rFonts w:cs="Times New Roman"/>
            <w:szCs w:val="24"/>
            <w:lang w:val="en-GB"/>
          </w:rPr>
          <w:t>Eastern Europe</w:t>
        </w:r>
      </w:smartTag>
      <w:r>
        <w:rPr>
          <w:rFonts w:cs="Times New Roman"/>
          <w:szCs w:val="24"/>
          <w:lang w:val="en-GB"/>
        </w:rPr>
        <w:t xml:space="preserve">. </w:t>
      </w:r>
    </w:p>
    <w:p w:rsidR="006072F0" w:rsidRDefault="006072F0" w:rsidP="006072F0">
      <w:pPr>
        <w:pStyle w:val="MMZwischenberschrift"/>
      </w:pPr>
      <w:r>
        <w:lastRenderedPageBreak/>
        <w:t>More than 70,000 employees Group-wide</w:t>
      </w:r>
    </w:p>
    <w:p w:rsidR="006072F0" w:rsidRPr="006072F0" w:rsidRDefault="006072F0" w:rsidP="006072F0">
      <w:pPr>
        <w:pStyle w:val="MMFlietext"/>
        <w:rPr>
          <w:rFonts w:cs="Times New Roman"/>
          <w:szCs w:val="24"/>
          <w:lang w:val="en-US"/>
        </w:rPr>
      </w:pPr>
      <w:r>
        <w:rPr>
          <w:rFonts w:cs="Times New Roman"/>
          <w:szCs w:val="24"/>
          <w:lang w:val="en-GB"/>
        </w:rPr>
        <w:t xml:space="preserve">Group-wide, </w:t>
      </w:r>
      <w:proofErr w:type="spellStart"/>
      <w:r>
        <w:rPr>
          <w:rFonts w:cs="Times New Roman"/>
          <w:szCs w:val="24"/>
          <w:lang w:val="en-GB"/>
        </w:rPr>
        <w:t>Leoni</w:t>
      </w:r>
      <w:proofErr w:type="spellEnd"/>
      <w:r>
        <w:rPr>
          <w:rFonts w:cs="Times New Roman"/>
          <w:szCs w:val="24"/>
          <w:lang w:val="en-GB"/>
        </w:rPr>
        <w:t xml:space="preserve"> employed 70,065 people at the end of the first quarter (31 December 2014: 67,988).</w:t>
      </w:r>
      <w:r w:rsidRPr="006072F0">
        <w:rPr>
          <w:rFonts w:cs="Times New Roman"/>
          <w:szCs w:val="24"/>
          <w:lang w:val="en-US"/>
        </w:rPr>
        <w:t xml:space="preserve"> </w:t>
      </w:r>
      <w:r>
        <w:rPr>
          <w:rFonts w:cs="Times New Roman"/>
          <w:szCs w:val="24"/>
          <w:lang w:val="en-GB"/>
        </w:rPr>
        <w:t xml:space="preserve">There was recruitment particularly for new wiring systems projects in Eastern Europe as well as automotive cable facilities in Asia and the </w:t>
      </w:r>
      <w:smartTag w:uri="urn:schemas-microsoft-com:office:smarttags" w:element="place">
        <w:smartTag w:uri="urn:schemas-microsoft-com:office:smarttags" w:element="country-region">
          <w:r>
            <w:rPr>
              <w:rFonts w:cs="Times New Roman"/>
              <w:szCs w:val="24"/>
              <w:lang w:val="en-GB"/>
            </w:rPr>
            <w:t>Americas</w:t>
          </w:r>
        </w:smartTag>
      </w:smartTag>
      <w:r>
        <w:rPr>
          <w:rFonts w:cs="Times New Roman"/>
          <w:szCs w:val="24"/>
          <w:lang w:val="en-GB"/>
        </w:rPr>
        <w:t>.</w:t>
      </w:r>
      <w:r w:rsidRPr="006072F0">
        <w:rPr>
          <w:rFonts w:cs="Times New Roman"/>
          <w:szCs w:val="24"/>
          <w:lang w:val="en-US"/>
        </w:rPr>
        <w:t xml:space="preserve"> </w:t>
      </w:r>
      <w:r>
        <w:rPr>
          <w:rFonts w:cs="Times New Roman"/>
          <w:szCs w:val="24"/>
          <w:lang w:val="en-GB"/>
        </w:rPr>
        <w:t xml:space="preserve">Overall, the workforce outside </w:t>
      </w:r>
      <w:smartTag w:uri="urn:schemas-microsoft-com:office:smarttags" w:element="country-region">
        <w:r>
          <w:rPr>
            <w:rFonts w:cs="Times New Roman"/>
            <w:szCs w:val="24"/>
            <w:lang w:val="en-GB"/>
          </w:rPr>
          <w:t>Germany</w:t>
        </w:r>
      </w:smartTag>
      <w:r>
        <w:rPr>
          <w:rFonts w:cs="Times New Roman"/>
          <w:szCs w:val="24"/>
          <w:lang w:val="en-GB"/>
        </w:rPr>
        <w:t xml:space="preserve"> grew by 2,062 to 65,742 employees and, in </w:t>
      </w:r>
      <w:smartTag w:uri="urn:schemas-microsoft-com:office:smarttags" w:element="place">
        <w:smartTag w:uri="urn:schemas-microsoft-com:office:smarttags" w:element="country-region">
          <w:r>
            <w:rPr>
              <w:rFonts w:cs="Times New Roman"/>
              <w:szCs w:val="24"/>
              <w:lang w:val="en-GB"/>
            </w:rPr>
            <w:t>Germany</w:t>
          </w:r>
        </w:smartTag>
      </w:smartTag>
      <w:r>
        <w:rPr>
          <w:rFonts w:cs="Times New Roman"/>
          <w:szCs w:val="24"/>
          <w:lang w:val="en-GB"/>
        </w:rPr>
        <w:t>, by 15 to 4,323 people.</w:t>
      </w:r>
      <w:r w:rsidRPr="006072F0">
        <w:rPr>
          <w:rFonts w:cs="Times New Roman"/>
          <w:szCs w:val="24"/>
          <w:lang w:val="en-US"/>
        </w:rPr>
        <w:t xml:space="preserve"> </w:t>
      </w:r>
    </w:p>
    <w:p w:rsidR="006072F0" w:rsidRDefault="006072F0" w:rsidP="006072F0">
      <w:pPr>
        <w:pStyle w:val="MMZwischenberschrift"/>
      </w:pPr>
      <w:r>
        <w:t>Forecast for 2015 and 2016 reaffirmed</w:t>
      </w:r>
    </w:p>
    <w:p w:rsidR="006072F0" w:rsidRPr="006072F0" w:rsidRDefault="006072F0" w:rsidP="006072F0">
      <w:pPr>
        <w:pStyle w:val="MMFlietext"/>
        <w:rPr>
          <w:rFonts w:cs="Times New Roman"/>
          <w:szCs w:val="24"/>
          <w:lang w:val="en-US"/>
        </w:rPr>
      </w:pPr>
      <w:r>
        <w:rPr>
          <w:rFonts w:cs="Times New Roman"/>
          <w:szCs w:val="24"/>
          <w:lang w:val="en-GB"/>
        </w:rPr>
        <w:t xml:space="preserve">For fiscal 2015 as a whole, </w:t>
      </w:r>
      <w:proofErr w:type="spellStart"/>
      <w:r>
        <w:rPr>
          <w:rFonts w:cs="Times New Roman"/>
          <w:szCs w:val="24"/>
          <w:lang w:val="en-GB"/>
        </w:rPr>
        <w:t>Leoni</w:t>
      </w:r>
      <w:proofErr w:type="spellEnd"/>
      <w:r>
        <w:rPr>
          <w:rFonts w:cs="Times New Roman"/>
          <w:szCs w:val="24"/>
          <w:lang w:val="en-GB"/>
        </w:rPr>
        <w:t xml:space="preserve"> still projects increases in consolidated sales to about EUR 4.3 billion (2014: EUR 4.1 billion) and in consolidated EBIT to more than EUR 200 million (2014: EUR 182.5 million).</w:t>
      </w:r>
      <w:r w:rsidRPr="006072F0">
        <w:rPr>
          <w:rFonts w:cs="Times New Roman"/>
          <w:szCs w:val="24"/>
          <w:lang w:val="en-US"/>
        </w:rPr>
        <w:t xml:space="preserve"> </w:t>
      </w:r>
      <w:r>
        <w:rPr>
          <w:rFonts w:cs="Times New Roman"/>
          <w:szCs w:val="24"/>
          <w:lang w:val="en-GB"/>
        </w:rPr>
        <w:t>After the first quarter, which was still marked to a significant extent by pre-production costs, we expect to see the projected gradual improvement in earnings, to which efficiency gains in both divisions will also contribute.</w:t>
      </w:r>
      <w:r w:rsidRPr="006072F0">
        <w:rPr>
          <w:rFonts w:cs="Times New Roman"/>
          <w:szCs w:val="24"/>
          <w:lang w:val="en-US"/>
        </w:rPr>
        <w:t xml:space="preserve"> </w:t>
      </w:r>
    </w:p>
    <w:p w:rsidR="0098775F" w:rsidRPr="007F08F8" w:rsidRDefault="006072F0" w:rsidP="006072F0">
      <w:pPr>
        <w:pStyle w:val="MMFlietext"/>
        <w:rPr>
          <w:rFonts w:cs="Times New Roman"/>
          <w:szCs w:val="24"/>
          <w:lang w:val="en-US"/>
        </w:rPr>
      </w:pPr>
      <w:r>
        <w:rPr>
          <w:rFonts w:cs="Times New Roman"/>
          <w:szCs w:val="24"/>
          <w:lang w:val="en-GB"/>
        </w:rPr>
        <w:t>We expect this to be followed in 2016 by a strong growth surge to sales of EUR 5 billion.</w:t>
      </w:r>
      <w:r w:rsidRPr="006072F0">
        <w:rPr>
          <w:rFonts w:cs="Times New Roman"/>
          <w:szCs w:val="24"/>
          <w:lang w:val="en-US"/>
        </w:rPr>
        <w:t xml:space="preserve"> </w:t>
      </w:r>
      <w:r>
        <w:rPr>
          <w:rFonts w:cs="Times New Roman"/>
          <w:szCs w:val="24"/>
          <w:lang w:val="en-GB"/>
        </w:rPr>
        <w:t>The resulting, additional contribution to profit will, together with further efficiency gains as well as significantly reduced pre-production costs, make a 7 percent EBIT margin possible</w:t>
      </w:r>
      <w:r w:rsidR="00F55CB1">
        <w:rPr>
          <w:lang w:val="en-GB"/>
        </w:rPr>
        <w:t>.</w:t>
      </w:r>
    </w:p>
    <w:p w:rsidR="00AC5497" w:rsidRPr="000F65EE" w:rsidRDefault="00AC5497" w:rsidP="006366F6">
      <w:pPr>
        <w:pStyle w:val="MMFlietext"/>
        <w:spacing w:after="0"/>
        <w:rPr>
          <w:lang w:val="en-GB"/>
        </w:rPr>
      </w:pPr>
      <w:r w:rsidRPr="000F65EE">
        <w:rPr>
          <w:i/>
          <w:lang w:val="en-GB"/>
        </w:rPr>
        <w:t>(</w:t>
      </w:r>
      <w:r w:rsidR="00DB7DCF">
        <w:rPr>
          <w:i/>
          <w:lang w:val="en-GB"/>
        </w:rPr>
        <w:t>5,566</w:t>
      </w:r>
      <w:r w:rsidRPr="000F65EE">
        <w:rPr>
          <w:i/>
          <w:lang w:val="en-GB"/>
        </w:rPr>
        <w:t xml:space="preserve"> characters incl</w:t>
      </w:r>
      <w:r w:rsidR="002D2880">
        <w:rPr>
          <w:i/>
          <w:lang w:val="en-GB"/>
        </w:rPr>
        <w:t xml:space="preserve">. </w:t>
      </w:r>
      <w:proofErr w:type="spellStart"/>
      <w:proofErr w:type="gramStart"/>
      <w:r w:rsidR="000209BC" w:rsidRPr="000F65EE">
        <w:rPr>
          <w:i/>
          <w:lang w:val="en-GB"/>
        </w:rPr>
        <w:t>blancs</w:t>
      </w:r>
      <w:proofErr w:type="spellEnd"/>
      <w:proofErr w:type="gramEnd"/>
      <w:r w:rsidRPr="000F65EE">
        <w:rPr>
          <w:i/>
          <w:lang w:val="en-GB"/>
        </w:rPr>
        <w:t>)</w:t>
      </w:r>
    </w:p>
    <w:p w:rsidR="00E26F48" w:rsidRDefault="00E26F48" w:rsidP="006366F6">
      <w:pPr>
        <w:pStyle w:val="MMKurzprofilberschrift"/>
        <w:spacing w:before="360" w:after="120"/>
        <w:rPr>
          <w:rFonts w:cs="Times New Roman"/>
          <w:szCs w:val="24"/>
          <w:lang w:val="en-GB"/>
        </w:rPr>
      </w:pPr>
      <w:r w:rsidRPr="008218D9">
        <w:rPr>
          <w:rFonts w:cs="Times New Roman"/>
          <w:szCs w:val="24"/>
          <w:lang w:val="en-GB"/>
        </w:rPr>
        <w:t>Leoni performance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28" w:type="dxa"/>
        </w:tblCellMar>
        <w:tblLook w:val="01E0" w:firstRow="1" w:lastRow="1" w:firstColumn="1" w:lastColumn="1" w:noHBand="0" w:noVBand="0"/>
      </w:tblPr>
      <w:tblGrid>
        <w:gridCol w:w="4077"/>
        <w:gridCol w:w="1276"/>
        <w:gridCol w:w="1276"/>
        <w:gridCol w:w="1276"/>
      </w:tblGrid>
      <w:tr w:rsidR="009E06E1" w:rsidRPr="002D2880" w:rsidTr="00B8338C">
        <w:trPr>
          <w:trHeight w:hRule="exact" w:val="227"/>
        </w:trPr>
        <w:tc>
          <w:tcPr>
            <w:tcW w:w="4077" w:type="dxa"/>
          </w:tcPr>
          <w:p w:rsidR="009E06E1" w:rsidRPr="002D2880" w:rsidRDefault="0004329A" w:rsidP="00B8338C">
            <w:pPr>
              <w:tabs>
                <w:tab w:val="left" w:pos="8505"/>
              </w:tabs>
              <w:rPr>
                <w:rFonts w:ascii="Arial" w:hAnsi="Arial" w:cs="Arial"/>
                <w:b/>
                <w:sz w:val="18"/>
                <w:szCs w:val="18"/>
                <w:lang w:val="en-US"/>
              </w:rPr>
            </w:pPr>
            <w:r w:rsidRPr="002D2880">
              <w:rPr>
                <w:rFonts w:ascii="Arial" w:hAnsi="Arial" w:cs="Arial"/>
                <w:b/>
                <w:sz w:val="18"/>
                <w:szCs w:val="18"/>
                <w:lang w:val="en-US"/>
              </w:rPr>
              <w:t>Group k</w:t>
            </w:r>
            <w:r w:rsidR="009E06E1" w:rsidRPr="002D2880">
              <w:rPr>
                <w:rFonts w:ascii="Arial" w:hAnsi="Arial" w:cs="Arial"/>
                <w:b/>
                <w:sz w:val="18"/>
                <w:szCs w:val="18"/>
                <w:lang w:val="en-US"/>
              </w:rPr>
              <w:t>ey figures</w:t>
            </w:r>
          </w:p>
        </w:tc>
        <w:tc>
          <w:tcPr>
            <w:tcW w:w="1276" w:type="dxa"/>
          </w:tcPr>
          <w:p w:rsidR="009E06E1" w:rsidRPr="002D2880" w:rsidRDefault="007F08F8" w:rsidP="006072F0">
            <w:pPr>
              <w:tabs>
                <w:tab w:val="left" w:pos="8505"/>
              </w:tabs>
              <w:rPr>
                <w:rFonts w:ascii="Arial" w:hAnsi="Arial" w:cs="Arial"/>
                <w:b/>
                <w:sz w:val="18"/>
                <w:szCs w:val="18"/>
                <w:lang w:val="en-US"/>
              </w:rPr>
            </w:pPr>
            <w:r w:rsidRPr="002D2880">
              <w:rPr>
                <w:rFonts w:ascii="Arial" w:hAnsi="Arial" w:cs="Arial"/>
                <w:b/>
                <w:sz w:val="18"/>
                <w:szCs w:val="18"/>
                <w:lang w:val="en-US"/>
              </w:rPr>
              <w:t xml:space="preserve">Q1 </w:t>
            </w:r>
            <w:r w:rsidR="009E06E1" w:rsidRPr="002D2880">
              <w:rPr>
                <w:rFonts w:ascii="Arial" w:hAnsi="Arial" w:cs="Arial"/>
                <w:b/>
                <w:sz w:val="18"/>
                <w:szCs w:val="18"/>
                <w:lang w:val="en-US"/>
              </w:rPr>
              <w:t>201</w:t>
            </w:r>
            <w:r w:rsidR="006072F0" w:rsidRPr="002D2880">
              <w:rPr>
                <w:rFonts w:ascii="Arial" w:hAnsi="Arial" w:cs="Arial"/>
                <w:b/>
                <w:sz w:val="18"/>
                <w:szCs w:val="18"/>
                <w:lang w:val="en-US"/>
              </w:rPr>
              <w:t>5</w:t>
            </w:r>
          </w:p>
        </w:tc>
        <w:tc>
          <w:tcPr>
            <w:tcW w:w="1276" w:type="dxa"/>
          </w:tcPr>
          <w:p w:rsidR="009E06E1" w:rsidRPr="002D2880" w:rsidRDefault="007F08F8" w:rsidP="006072F0">
            <w:pPr>
              <w:tabs>
                <w:tab w:val="left" w:pos="8505"/>
              </w:tabs>
              <w:rPr>
                <w:rFonts w:ascii="Arial" w:hAnsi="Arial" w:cs="Arial"/>
                <w:b/>
                <w:sz w:val="18"/>
                <w:szCs w:val="18"/>
                <w:lang w:val="en-US"/>
              </w:rPr>
            </w:pPr>
            <w:r w:rsidRPr="002D2880">
              <w:rPr>
                <w:rFonts w:ascii="Arial" w:hAnsi="Arial" w:cs="Arial"/>
                <w:b/>
                <w:sz w:val="18"/>
                <w:szCs w:val="18"/>
                <w:lang w:val="en-US"/>
              </w:rPr>
              <w:t xml:space="preserve">Q1 </w:t>
            </w:r>
            <w:r w:rsidR="009E06E1" w:rsidRPr="002D2880">
              <w:rPr>
                <w:rFonts w:ascii="Arial" w:hAnsi="Arial" w:cs="Arial"/>
                <w:b/>
                <w:sz w:val="18"/>
                <w:szCs w:val="18"/>
                <w:lang w:val="en-US"/>
              </w:rPr>
              <w:t>201</w:t>
            </w:r>
            <w:r w:rsidR="006072F0" w:rsidRPr="002D2880">
              <w:rPr>
                <w:rFonts w:ascii="Arial" w:hAnsi="Arial" w:cs="Arial"/>
                <w:b/>
                <w:sz w:val="18"/>
                <w:szCs w:val="18"/>
                <w:lang w:val="en-US"/>
              </w:rPr>
              <w:t>4</w:t>
            </w:r>
          </w:p>
        </w:tc>
        <w:tc>
          <w:tcPr>
            <w:tcW w:w="1276" w:type="dxa"/>
          </w:tcPr>
          <w:p w:rsidR="009E06E1" w:rsidRPr="002D2880" w:rsidRDefault="009E06E1" w:rsidP="009E06E1">
            <w:pPr>
              <w:tabs>
                <w:tab w:val="left" w:pos="8505"/>
              </w:tabs>
              <w:ind w:left="-13" w:right="-108"/>
              <w:rPr>
                <w:rFonts w:ascii="Arial" w:hAnsi="Arial" w:cs="Arial"/>
                <w:b/>
                <w:sz w:val="18"/>
                <w:szCs w:val="18"/>
                <w:lang w:val="en-US"/>
              </w:rPr>
            </w:pPr>
            <w:r w:rsidRPr="002D2880">
              <w:rPr>
                <w:rFonts w:ascii="Arial" w:hAnsi="Arial" w:cs="Arial"/>
                <w:b/>
                <w:sz w:val="18"/>
                <w:szCs w:val="18"/>
                <w:lang w:val="en-US"/>
              </w:rPr>
              <w:t>Change</w:t>
            </w:r>
          </w:p>
        </w:tc>
      </w:tr>
      <w:tr w:rsidR="00DB7DCF" w:rsidRPr="002D2880" w:rsidTr="00B8338C">
        <w:trPr>
          <w:trHeight w:hRule="exact" w:val="284"/>
        </w:trPr>
        <w:tc>
          <w:tcPr>
            <w:tcW w:w="4077" w:type="dxa"/>
            <w:vAlign w:val="center"/>
          </w:tcPr>
          <w:p w:rsidR="00DB7DCF" w:rsidRPr="002D2880" w:rsidRDefault="00DB7DCF" w:rsidP="007F08F8">
            <w:pPr>
              <w:tabs>
                <w:tab w:val="left" w:pos="8505"/>
              </w:tabs>
              <w:rPr>
                <w:lang w:val="en-US"/>
              </w:rPr>
            </w:pPr>
            <w:r w:rsidRPr="007F08F8">
              <w:rPr>
                <w:rFonts w:ascii="Arial" w:hAnsi="Arial"/>
                <w:sz w:val="18"/>
                <w:lang w:val="en-GB"/>
              </w:rPr>
              <w:t>Sales [€ million]</w:t>
            </w:r>
          </w:p>
        </w:tc>
        <w:tc>
          <w:tcPr>
            <w:tcW w:w="1276" w:type="dxa"/>
            <w:vAlign w:val="center"/>
          </w:tcPr>
          <w:p w:rsidR="00DB7DCF" w:rsidRPr="002D2880" w:rsidRDefault="00DB7DCF" w:rsidP="002D2880">
            <w:pPr>
              <w:tabs>
                <w:tab w:val="left" w:pos="8505"/>
              </w:tabs>
              <w:jc w:val="right"/>
              <w:rPr>
                <w:rFonts w:ascii="Arial" w:hAnsi="Arial" w:cs="Arial"/>
                <w:sz w:val="18"/>
                <w:szCs w:val="18"/>
                <w:lang w:val="en-US"/>
              </w:rPr>
            </w:pPr>
            <w:r w:rsidRPr="002D2880">
              <w:rPr>
                <w:rFonts w:ascii="Arial" w:hAnsi="Arial" w:cs="Arial"/>
                <w:sz w:val="18"/>
                <w:szCs w:val="18"/>
                <w:lang w:val="en-US"/>
              </w:rPr>
              <w:t>1</w:t>
            </w:r>
            <w:r w:rsidR="002D2880" w:rsidRPr="002D2880">
              <w:rPr>
                <w:rFonts w:ascii="Arial" w:hAnsi="Arial" w:cs="Arial"/>
                <w:sz w:val="18"/>
                <w:szCs w:val="18"/>
                <w:lang w:val="en-US"/>
              </w:rPr>
              <w:t>,</w:t>
            </w:r>
            <w:r w:rsidRPr="002D2880">
              <w:rPr>
                <w:rFonts w:ascii="Arial" w:hAnsi="Arial" w:cs="Arial"/>
                <w:sz w:val="18"/>
                <w:szCs w:val="18"/>
                <w:lang w:val="en-US"/>
              </w:rPr>
              <w:t>108</w:t>
            </w:r>
            <w:r w:rsidR="002D2880" w:rsidRPr="002D2880">
              <w:rPr>
                <w:rFonts w:ascii="Arial" w:hAnsi="Arial" w:cs="Arial"/>
                <w:sz w:val="18"/>
                <w:szCs w:val="18"/>
                <w:lang w:val="en-US"/>
              </w:rPr>
              <w:t>.</w:t>
            </w:r>
            <w:r w:rsidRPr="002D2880">
              <w:rPr>
                <w:rFonts w:ascii="Arial" w:hAnsi="Arial" w:cs="Arial"/>
                <w:sz w:val="18"/>
                <w:szCs w:val="18"/>
                <w:lang w:val="en-US"/>
              </w:rPr>
              <w:t>8</w:t>
            </w:r>
          </w:p>
        </w:tc>
        <w:tc>
          <w:tcPr>
            <w:tcW w:w="1276" w:type="dxa"/>
            <w:vAlign w:val="center"/>
          </w:tcPr>
          <w:p w:rsidR="00DB7DCF" w:rsidRPr="002D2880" w:rsidRDefault="00DB7DCF" w:rsidP="002D2880">
            <w:pPr>
              <w:tabs>
                <w:tab w:val="left" w:pos="8505"/>
              </w:tabs>
              <w:jc w:val="right"/>
              <w:rPr>
                <w:rFonts w:ascii="Arial" w:hAnsi="Arial" w:cs="Arial"/>
                <w:sz w:val="18"/>
                <w:szCs w:val="18"/>
                <w:lang w:val="en-US"/>
              </w:rPr>
            </w:pPr>
            <w:r w:rsidRPr="002D2880">
              <w:rPr>
                <w:rFonts w:ascii="Arial" w:hAnsi="Arial" w:cs="Arial"/>
                <w:sz w:val="18"/>
                <w:szCs w:val="18"/>
                <w:lang w:val="en-US"/>
              </w:rPr>
              <w:t>1</w:t>
            </w:r>
            <w:r w:rsidR="002D2880" w:rsidRPr="002D2880">
              <w:rPr>
                <w:rFonts w:ascii="Arial" w:hAnsi="Arial" w:cs="Arial"/>
                <w:sz w:val="18"/>
                <w:szCs w:val="18"/>
                <w:lang w:val="en-US"/>
              </w:rPr>
              <w:t>,</w:t>
            </w:r>
            <w:r w:rsidRPr="002D2880">
              <w:rPr>
                <w:rFonts w:ascii="Arial" w:hAnsi="Arial" w:cs="Arial"/>
                <w:sz w:val="18"/>
                <w:szCs w:val="18"/>
                <w:lang w:val="en-US"/>
              </w:rPr>
              <w:t>020</w:t>
            </w:r>
            <w:r w:rsidR="002D2880" w:rsidRPr="002D2880">
              <w:rPr>
                <w:rFonts w:ascii="Arial" w:hAnsi="Arial" w:cs="Arial"/>
                <w:sz w:val="18"/>
                <w:szCs w:val="18"/>
                <w:lang w:val="en-US"/>
              </w:rPr>
              <w:t>.</w:t>
            </w:r>
            <w:r w:rsidRPr="002D2880">
              <w:rPr>
                <w:rFonts w:ascii="Arial" w:hAnsi="Arial" w:cs="Arial"/>
                <w:sz w:val="18"/>
                <w:szCs w:val="18"/>
                <w:lang w:val="en-US"/>
              </w:rPr>
              <w:t>2</w:t>
            </w:r>
          </w:p>
        </w:tc>
        <w:tc>
          <w:tcPr>
            <w:tcW w:w="1276" w:type="dxa"/>
            <w:vAlign w:val="center"/>
          </w:tcPr>
          <w:p w:rsidR="00DB7DCF" w:rsidRPr="002D2880" w:rsidRDefault="00DB7DCF" w:rsidP="002D2880">
            <w:pPr>
              <w:tabs>
                <w:tab w:val="left" w:pos="8505"/>
              </w:tabs>
              <w:jc w:val="right"/>
              <w:rPr>
                <w:rFonts w:ascii="Arial" w:hAnsi="Arial" w:cs="Arial"/>
                <w:sz w:val="18"/>
                <w:szCs w:val="18"/>
                <w:lang w:val="en-US"/>
              </w:rPr>
            </w:pPr>
            <w:r w:rsidRPr="002D2880">
              <w:rPr>
                <w:rFonts w:ascii="Arial" w:hAnsi="Arial" w:cs="Arial"/>
                <w:sz w:val="18"/>
                <w:szCs w:val="18"/>
                <w:lang w:val="en-US"/>
              </w:rPr>
              <w:t>+8</w:t>
            </w:r>
            <w:r w:rsidR="002D2880" w:rsidRPr="002D2880">
              <w:rPr>
                <w:rFonts w:ascii="Arial" w:hAnsi="Arial" w:cs="Arial"/>
                <w:sz w:val="18"/>
                <w:szCs w:val="18"/>
                <w:lang w:val="en-US"/>
              </w:rPr>
              <w:t>.</w:t>
            </w:r>
            <w:r w:rsidRPr="002D2880">
              <w:rPr>
                <w:rFonts w:ascii="Arial" w:hAnsi="Arial" w:cs="Arial"/>
                <w:sz w:val="18"/>
                <w:szCs w:val="18"/>
                <w:lang w:val="en-US"/>
              </w:rPr>
              <w:t>7 %</w:t>
            </w:r>
          </w:p>
        </w:tc>
      </w:tr>
      <w:tr w:rsidR="00DB7DCF" w:rsidRPr="002D2880" w:rsidTr="00B8338C">
        <w:trPr>
          <w:trHeight w:hRule="exact" w:val="284"/>
        </w:trPr>
        <w:tc>
          <w:tcPr>
            <w:tcW w:w="4077" w:type="dxa"/>
            <w:vAlign w:val="center"/>
          </w:tcPr>
          <w:p w:rsidR="00DB7DCF" w:rsidRPr="007F08F8" w:rsidRDefault="00DB7DCF" w:rsidP="007F08F8">
            <w:pPr>
              <w:tabs>
                <w:tab w:val="left" w:pos="8505"/>
              </w:tabs>
            </w:pPr>
            <w:r w:rsidRPr="007F08F8">
              <w:rPr>
                <w:rFonts w:ascii="Arial" w:hAnsi="Arial"/>
                <w:sz w:val="18"/>
                <w:lang w:val="en-GB"/>
              </w:rPr>
              <w:t>EBITDA [€ million]</w:t>
            </w:r>
          </w:p>
        </w:tc>
        <w:tc>
          <w:tcPr>
            <w:tcW w:w="1276" w:type="dxa"/>
            <w:vAlign w:val="center"/>
          </w:tcPr>
          <w:p w:rsidR="00DB7DCF" w:rsidRDefault="00DB7DCF" w:rsidP="002D2880">
            <w:pPr>
              <w:tabs>
                <w:tab w:val="left" w:pos="8505"/>
              </w:tabs>
              <w:jc w:val="right"/>
              <w:rPr>
                <w:rFonts w:ascii="Arial" w:hAnsi="Arial" w:cs="Arial"/>
                <w:sz w:val="18"/>
                <w:szCs w:val="18"/>
              </w:rPr>
            </w:pPr>
            <w:r>
              <w:rPr>
                <w:rFonts w:ascii="Arial" w:hAnsi="Arial" w:cs="Arial"/>
                <w:sz w:val="18"/>
                <w:szCs w:val="18"/>
              </w:rPr>
              <w:t>68</w:t>
            </w:r>
            <w:r w:rsidR="002D2880">
              <w:rPr>
                <w:rFonts w:ascii="Arial" w:hAnsi="Arial" w:cs="Arial"/>
                <w:sz w:val="18"/>
                <w:szCs w:val="18"/>
              </w:rPr>
              <w:t>.</w:t>
            </w:r>
            <w:r>
              <w:rPr>
                <w:rFonts w:ascii="Arial" w:hAnsi="Arial" w:cs="Arial"/>
                <w:sz w:val="18"/>
                <w:szCs w:val="18"/>
              </w:rPr>
              <w:t>7</w:t>
            </w:r>
          </w:p>
        </w:tc>
        <w:tc>
          <w:tcPr>
            <w:tcW w:w="1276" w:type="dxa"/>
            <w:vAlign w:val="center"/>
          </w:tcPr>
          <w:p w:rsidR="00DB7DCF" w:rsidRDefault="00DB7DCF" w:rsidP="002D2880">
            <w:pPr>
              <w:tabs>
                <w:tab w:val="left" w:pos="8505"/>
              </w:tabs>
              <w:jc w:val="right"/>
              <w:rPr>
                <w:rFonts w:ascii="Arial" w:hAnsi="Arial" w:cs="Arial"/>
                <w:sz w:val="18"/>
                <w:szCs w:val="18"/>
              </w:rPr>
            </w:pPr>
            <w:r>
              <w:rPr>
                <w:rFonts w:ascii="Arial" w:hAnsi="Arial" w:cs="Arial"/>
                <w:sz w:val="18"/>
                <w:szCs w:val="18"/>
              </w:rPr>
              <w:t>80</w:t>
            </w:r>
            <w:r w:rsidR="002D2880">
              <w:rPr>
                <w:rFonts w:ascii="Arial" w:hAnsi="Arial" w:cs="Arial"/>
                <w:sz w:val="18"/>
                <w:szCs w:val="18"/>
              </w:rPr>
              <w:t>.</w:t>
            </w:r>
            <w:r>
              <w:rPr>
                <w:rFonts w:ascii="Arial" w:hAnsi="Arial" w:cs="Arial"/>
                <w:sz w:val="18"/>
                <w:szCs w:val="18"/>
              </w:rPr>
              <w:t>7</w:t>
            </w:r>
          </w:p>
        </w:tc>
        <w:tc>
          <w:tcPr>
            <w:tcW w:w="1276" w:type="dxa"/>
            <w:vAlign w:val="center"/>
          </w:tcPr>
          <w:p w:rsidR="00DB7DCF" w:rsidRPr="002D2880" w:rsidRDefault="002D2880" w:rsidP="002D2880">
            <w:pPr>
              <w:tabs>
                <w:tab w:val="left" w:pos="8505"/>
              </w:tabs>
              <w:jc w:val="right"/>
              <w:rPr>
                <w:rFonts w:ascii="Arial" w:hAnsi="Arial" w:cs="Arial"/>
                <w:sz w:val="18"/>
                <w:szCs w:val="18"/>
                <w:lang w:val="en-US"/>
              </w:rPr>
            </w:pPr>
            <w:r>
              <w:rPr>
                <w:rFonts w:ascii="Arial" w:hAnsi="Arial" w:cs="Arial"/>
                <w:sz w:val="18"/>
                <w:szCs w:val="18"/>
                <w:lang w:val="en-US"/>
              </w:rPr>
              <w:t>(</w:t>
            </w:r>
            <w:r w:rsidR="00DB7DCF" w:rsidRPr="002D2880">
              <w:rPr>
                <w:rFonts w:ascii="Arial" w:hAnsi="Arial" w:cs="Arial"/>
                <w:sz w:val="18"/>
                <w:szCs w:val="18"/>
                <w:lang w:val="en-US"/>
              </w:rPr>
              <w:t>14</w:t>
            </w:r>
            <w:r w:rsidRPr="002D2880">
              <w:rPr>
                <w:rFonts w:ascii="Arial" w:hAnsi="Arial" w:cs="Arial"/>
                <w:sz w:val="18"/>
                <w:szCs w:val="18"/>
                <w:lang w:val="en-US"/>
              </w:rPr>
              <w:t>.</w:t>
            </w:r>
            <w:r w:rsidR="00DB7DCF" w:rsidRPr="002D2880">
              <w:rPr>
                <w:rFonts w:ascii="Arial" w:hAnsi="Arial" w:cs="Arial"/>
                <w:sz w:val="18"/>
                <w:szCs w:val="18"/>
                <w:lang w:val="en-US"/>
              </w:rPr>
              <w:t>9</w:t>
            </w:r>
            <w:r>
              <w:rPr>
                <w:rFonts w:ascii="Arial" w:hAnsi="Arial" w:cs="Arial"/>
                <w:sz w:val="18"/>
                <w:szCs w:val="18"/>
                <w:lang w:val="en-US"/>
              </w:rPr>
              <w:t>)</w:t>
            </w:r>
            <w:r w:rsidR="00DB7DCF" w:rsidRPr="002D2880">
              <w:rPr>
                <w:rFonts w:ascii="Arial" w:hAnsi="Arial" w:cs="Arial"/>
                <w:sz w:val="18"/>
                <w:szCs w:val="18"/>
                <w:lang w:val="en-US"/>
              </w:rPr>
              <w:t xml:space="preserve"> %</w:t>
            </w:r>
          </w:p>
        </w:tc>
      </w:tr>
      <w:tr w:rsidR="00DB7DCF" w:rsidRPr="002D2880" w:rsidTr="00B8338C">
        <w:trPr>
          <w:trHeight w:hRule="exact" w:val="284"/>
        </w:trPr>
        <w:tc>
          <w:tcPr>
            <w:tcW w:w="4077" w:type="dxa"/>
            <w:vAlign w:val="center"/>
          </w:tcPr>
          <w:p w:rsidR="00DB7DCF" w:rsidRPr="008203D4" w:rsidRDefault="00DB7DCF" w:rsidP="007F08F8">
            <w:pPr>
              <w:tabs>
                <w:tab w:val="left" w:pos="8505"/>
              </w:tabs>
              <w:rPr>
                <w:lang w:val="en-US"/>
              </w:rPr>
            </w:pPr>
            <w:r w:rsidRPr="007F08F8">
              <w:rPr>
                <w:rFonts w:ascii="Arial" w:hAnsi="Arial"/>
                <w:sz w:val="18"/>
                <w:lang w:val="en-GB"/>
              </w:rPr>
              <w:t>EBIT [€ million]</w:t>
            </w:r>
          </w:p>
        </w:tc>
        <w:tc>
          <w:tcPr>
            <w:tcW w:w="1276" w:type="dxa"/>
            <w:vAlign w:val="center"/>
          </w:tcPr>
          <w:p w:rsidR="00DB7DCF" w:rsidRPr="002D2880" w:rsidRDefault="00DB7DCF" w:rsidP="002D2880">
            <w:pPr>
              <w:tabs>
                <w:tab w:val="left" w:pos="8505"/>
              </w:tabs>
              <w:jc w:val="right"/>
              <w:rPr>
                <w:rFonts w:ascii="Arial" w:hAnsi="Arial" w:cs="Arial"/>
                <w:sz w:val="18"/>
                <w:szCs w:val="18"/>
                <w:lang w:val="en-US"/>
              </w:rPr>
            </w:pPr>
            <w:r w:rsidRPr="002D2880">
              <w:rPr>
                <w:rFonts w:ascii="Arial" w:hAnsi="Arial" w:cs="Arial"/>
                <w:sz w:val="18"/>
                <w:szCs w:val="18"/>
                <w:lang w:val="en-US"/>
              </w:rPr>
              <w:t>35</w:t>
            </w:r>
            <w:r w:rsidR="002D2880">
              <w:rPr>
                <w:rFonts w:ascii="Arial" w:hAnsi="Arial" w:cs="Arial"/>
                <w:sz w:val="18"/>
                <w:szCs w:val="18"/>
                <w:lang w:val="en-US"/>
              </w:rPr>
              <w:t>.</w:t>
            </w:r>
            <w:r w:rsidRPr="002D2880">
              <w:rPr>
                <w:rFonts w:ascii="Arial" w:hAnsi="Arial" w:cs="Arial"/>
                <w:sz w:val="18"/>
                <w:szCs w:val="18"/>
                <w:lang w:val="en-US"/>
              </w:rPr>
              <w:t>2</w:t>
            </w:r>
          </w:p>
        </w:tc>
        <w:tc>
          <w:tcPr>
            <w:tcW w:w="1276" w:type="dxa"/>
            <w:vAlign w:val="center"/>
          </w:tcPr>
          <w:p w:rsidR="00DB7DCF" w:rsidRPr="002D2880" w:rsidRDefault="00DB7DCF" w:rsidP="002D2880">
            <w:pPr>
              <w:tabs>
                <w:tab w:val="left" w:pos="8505"/>
              </w:tabs>
              <w:jc w:val="right"/>
              <w:rPr>
                <w:rFonts w:ascii="Arial" w:hAnsi="Arial" w:cs="Arial"/>
                <w:sz w:val="18"/>
                <w:szCs w:val="18"/>
                <w:lang w:val="en-US"/>
              </w:rPr>
            </w:pPr>
            <w:r w:rsidRPr="002D2880">
              <w:rPr>
                <w:rFonts w:ascii="Arial" w:hAnsi="Arial" w:cs="Arial"/>
                <w:sz w:val="18"/>
                <w:szCs w:val="18"/>
                <w:lang w:val="en-US"/>
              </w:rPr>
              <w:t>50</w:t>
            </w:r>
            <w:r w:rsidR="002D2880">
              <w:rPr>
                <w:rFonts w:ascii="Arial" w:hAnsi="Arial" w:cs="Arial"/>
                <w:sz w:val="18"/>
                <w:szCs w:val="18"/>
                <w:lang w:val="en-US"/>
              </w:rPr>
              <w:t>.</w:t>
            </w:r>
            <w:r w:rsidRPr="002D2880">
              <w:rPr>
                <w:rFonts w:ascii="Arial" w:hAnsi="Arial" w:cs="Arial"/>
                <w:sz w:val="18"/>
                <w:szCs w:val="18"/>
                <w:lang w:val="en-US"/>
              </w:rPr>
              <w:t>6</w:t>
            </w:r>
          </w:p>
        </w:tc>
        <w:tc>
          <w:tcPr>
            <w:tcW w:w="1276" w:type="dxa"/>
            <w:vAlign w:val="center"/>
          </w:tcPr>
          <w:p w:rsidR="00DB7DCF" w:rsidRPr="002D2880" w:rsidRDefault="002D2880" w:rsidP="002D2880">
            <w:pPr>
              <w:tabs>
                <w:tab w:val="left" w:pos="8505"/>
              </w:tabs>
              <w:jc w:val="right"/>
              <w:rPr>
                <w:rFonts w:ascii="Arial" w:hAnsi="Arial" w:cs="Arial"/>
                <w:sz w:val="18"/>
                <w:szCs w:val="18"/>
                <w:lang w:val="en-US"/>
              </w:rPr>
            </w:pPr>
            <w:r>
              <w:rPr>
                <w:rFonts w:ascii="Arial" w:hAnsi="Arial" w:cs="Arial"/>
                <w:sz w:val="18"/>
                <w:szCs w:val="18"/>
                <w:lang w:val="en-US"/>
              </w:rPr>
              <w:t>(</w:t>
            </w:r>
            <w:r w:rsidR="00DB7DCF" w:rsidRPr="002D2880">
              <w:rPr>
                <w:rFonts w:ascii="Arial" w:hAnsi="Arial" w:cs="Arial"/>
                <w:sz w:val="18"/>
                <w:szCs w:val="18"/>
                <w:lang w:val="en-US"/>
              </w:rPr>
              <w:t>30</w:t>
            </w:r>
            <w:r>
              <w:rPr>
                <w:rFonts w:ascii="Arial" w:hAnsi="Arial" w:cs="Arial"/>
                <w:sz w:val="18"/>
                <w:szCs w:val="18"/>
                <w:lang w:val="en-US"/>
              </w:rPr>
              <w:t>.</w:t>
            </w:r>
            <w:r w:rsidR="00DB7DCF" w:rsidRPr="002D2880">
              <w:rPr>
                <w:rFonts w:ascii="Arial" w:hAnsi="Arial" w:cs="Arial"/>
                <w:sz w:val="18"/>
                <w:szCs w:val="18"/>
                <w:lang w:val="en-US"/>
              </w:rPr>
              <w:t>5</w:t>
            </w:r>
            <w:r>
              <w:rPr>
                <w:rFonts w:ascii="Arial" w:hAnsi="Arial" w:cs="Arial"/>
                <w:sz w:val="18"/>
                <w:szCs w:val="18"/>
                <w:lang w:val="en-US"/>
              </w:rPr>
              <w:t>)</w:t>
            </w:r>
            <w:r w:rsidR="00DB7DCF" w:rsidRPr="002D2880">
              <w:rPr>
                <w:rFonts w:ascii="Arial" w:hAnsi="Arial" w:cs="Arial"/>
                <w:sz w:val="18"/>
                <w:szCs w:val="18"/>
                <w:lang w:val="en-US"/>
              </w:rPr>
              <w:t xml:space="preserve"> %</w:t>
            </w:r>
          </w:p>
        </w:tc>
      </w:tr>
      <w:tr w:rsidR="00DB7DCF" w:rsidRPr="002D2880" w:rsidTr="00B8338C">
        <w:trPr>
          <w:trHeight w:hRule="exact" w:val="284"/>
        </w:trPr>
        <w:tc>
          <w:tcPr>
            <w:tcW w:w="4077" w:type="dxa"/>
            <w:vAlign w:val="center"/>
          </w:tcPr>
          <w:p w:rsidR="00DB7DCF" w:rsidRPr="008203D4" w:rsidRDefault="00DB7DCF" w:rsidP="00B260C6">
            <w:pPr>
              <w:tabs>
                <w:tab w:val="left" w:pos="8505"/>
              </w:tabs>
              <w:rPr>
                <w:lang w:val="en-US"/>
              </w:rPr>
            </w:pPr>
            <w:r w:rsidRPr="007F08F8">
              <w:rPr>
                <w:rFonts w:ascii="Arial" w:hAnsi="Arial"/>
                <w:sz w:val="18"/>
                <w:lang w:val="en-GB"/>
              </w:rPr>
              <w:t xml:space="preserve">Adjusted EBIT </w:t>
            </w:r>
            <w:r>
              <w:rPr>
                <w:rFonts w:ascii="Arial" w:hAnsi="Arial"/>
                <w:sz w:val="18"/>
                <w:lang w:val="en-GB"/>
              </w:rPr>
              <w:t>*</w:t>
            </w:r>
            <w:r w:rsidRPr="007F08F8">
              <w:rPr>
                <w:rFonts w:ascii="Arial" w:hAnsi="Arial"/>
                <w:sz w:val="18"/>
                <w:lang w:val="en-GB"/>
              </w:rPr>
              <w:t xml:space="preserve"> [€ million]</w:t>
            </w:r>
          </w:p>
        </w:tc>
        <w:tc>
          <w:tcPr>
            <w:tcW w:w="1276" w:type="dxa"/>
            <w:vAlign w:val="center"/>
          </w:tcPr>
          <w:p w:rsidR="00DB7DCF" w:rsidRPr="002D2880" w:rsidRDefault="00DB7DCF" w:rsidP="002D2880">
            <w:pPr>
              <w:tabs>
                <w:tab w:val="left" w:pos="8505"/>
              </w:tabs>
              <w:jc w:val="right"/>
              <w:rPr>
                <w:rFonts w:ascii="Arial" w:hAnsi="Arial" w:cs="Arial"/>
                <w:sz w:val="18"/>
                <w:szCs w:val="18"/>
                <w:lang w:val="en-US"/>
              </w:rPr>
            </w:pPr>
            <w:r w:rsidRPr="002D2880">
              <w:rPr>
                <w:rFonts w:ascii="Arial" w:hAnsi="Arial" w:cs="Arial"/>
                <w:sz w:val="18"/>
                <w:szCs w:val="18"/>
                <w:lang w:val="en-US"/>
              </w:rPr>
              <w:t>37</w:t>
            </w:r>
            <w:r w:rsidR="002D2880">
              <w:rPr>
                <w:rFonts w:ascii="Arial" w:hAnsi="Arial" w:cs="Arial"/>
                <w:sz w:val="18"/>
                <w:szCs w:val="18"/>
                <w:lang w:val="en-US"/>
              </w:rPr>
              <w:t>.</w:t>
            </w:r>
            <w:r w:rsidRPr="002D2880">
              <w:rPr>
                <w:rFonts w:ascii="Arial" w:hAnsi="Arial" w:cs="Arial"/>
                <w:sz w:val="18"/>
                <w:szCs w:val="18"/>
                <w:lang w:val="en-US"/>
              </w:rPr>
              <w:t>9</w:t>
            </w:r>
          </w:p>
        </w:tc>
        <w:tc>
          <w:tcPr>
            <w:tcW w:w="1276" w:type="dxa"/>
            <w:vAlign w:val="center"/>
          </w:tcPr>
          <w:p w:rsidR="00DB7DCF" w:rsidRPr="002D2880" w:rsidRDefault="00DB7DCF" w:rsidP="002D2880">
            <w:pPr>
              <w:tabs>
                <w:tab w:val="left" w:pos="8505"/>
              </w:tabs>
              <w:jc w:val="right"/>
              <w:rPr>
                <w:rFonts w:ascii="Arial" w:hAnsi="Arial" w:cs="Arial"/>
                <w:sz w:val="18"/>
                <w:szCs w:val="18"/>
                <w:lang w:val="en-US"/>
              </w:rPr>
            </w:pPr>
            <w:r w:rsidRPr="002D2880">
              <w:rPr>
                <w:rFonts w:ascii="Arial" w:hAnsi="Arial" w:cs="Arial"/>
                <w:sz w:val="18"/>
                <w:szCs w:val="18"/>
                <w:lang w:val="en-US"/>
              </w:rPr>
              <w:t>52</w:t>
            </w:r>
            <w:r w:rsidR="002D2880">
              <w:rPr>
                <w:rFonts w:ascii="Arial" w:hAnsi="Arial" w:cs="Arial"/>
                <w:sz w:val="18"/>
                <w:szCs w:val="18"/>
                <w:lang w:val="en-US"/>
              </w:rPr>
              <w:t>.</w:t>
            </w:r>
            <w:r w:rsidRPr="002D2880">
              <w:rPr>
                <w:rFonts w:ascii="Arial" w:hAnsi="Arial" w:cs="Arial"/>
                <w:sz w:val="18"/>
                <w:szCs w:val="18"/>
                <w:lang w:val="en-US"/>
              </w:rPr>
              <w:t>8</w:t>
            </w:r>
          </w:p>
        </w:tc>
        <w:tc>
          <w:tcPr>
            <w:tcW w:w="1276" w:type="dxa"/>
            <w:vAlign w:val="center"/>
          </w:tcPr>
          <w:p w:rsidR="00DB7DCF" w:rsidRPr="002D2880" w:rsidRDefault="002D2880" w:rsidP="002D2880">
            <w:pPr>
              <w:tabs>
                <w:tab w:val="left" w:pos="8505"/>
              </w:tabs>
              <w:jc w:val="right"/>
              <w:rPr>
                <w:rFonts w:ascii="Arial" w:hAnsi="Arial" w:cs="Arial"/>
                <w:sz w:val="18"/>
                <w:szCs w:val="18"/>
                <w:lang w:val="en-US"/>
              </w:rPr>
            </w:pPr>
            <w:r>
              <w:rPr>
                <w:rFonts w:ascii="Arial" w:hAnsi="Arial" w:cs="Arial"/>
                <w:sz w:val="18"/>
                <w:szCs w:val="18"/>
                <w:lang w:val="en-US"/>
              </w:rPr>
              <w:t>(</w:t>
            </w:r>
            <w:r w:rsidR="00DB7DCF" w:rsidRPr="002D2880">
              <w:rPr>
                <w:rFonts w:ascii="Arial" w:hAnsi="Arial" w:cs="Arial"/>
                <w:sz w:val="18"/>
                <w:szCs w:val="18"/>
                <w:lang w:val="en-US"/>
              </w:rPr>
              <w:t>28</w:t>
            </w:r>
            <w:r>
              <w:rPr>
                <w:rFonts w:ascii="Arial" w:hAnsi="Arial" w:cs="Arial"/>
                <w:sz w:val="18"/>
                <w:szCs w:val="18"/>
                <w:lang w:val="en-US"/>
              </w:rPr>
              <w:t>.</w:t>
            </w:r>
            <w:r w:rsidR="00DB7DCF" w:rsidRPr="002D2880">
              <w:rPr>
                <w:rFonts w:ascii="Arial" w:hAnsi="Arial" w:cs="Arial"/>
                <w:sz w:val="18"/>
                <w:szCs w:val="18"/>
                <w:lang w:val="en-US"/>
              </w:rPr>
              <w:t>2</w:t>
            </w:r>
            <w:r>
              <w:rPr>
                <w:rFonts w:ascii="Arial" w:hAnsi="Arial" w:cs="Arial"/>
                <w:sz w:val="18"/>
                <w:szCs w:val="18"/>
                <w:lang w:val="en-US"/>
              </w:rPr>
              <w:t>)</w:t>
            </w:r>
            <w:r w:rsidR="00DB7DCF" w:rsidRPr="002D2880">
              <w:rPr>
                <w:rFonts w:ascii="Arial" w:hAnsi="Arial" w:cs="Arial"/>
                <w:sz w:val="18"/>
                <w:szCs w:val="18"/>
                <w:lang w:val="en-US"/>
              </w:rPr>
              <w:t xml:space="preserve"> %</w:t>
            </w:r>
          </w:p>
        </w:tc>
      </w:tr>
      <w:tr w:rsidR="00DB7DCF" w:rsidRPr="002D2880" w:rsidTr="00B8338C">
        <w:trPr>
          <w:trHeight w:hRule="exact" w:val="284"/>
        </w:trPr>
        <w:tc>
          <w:tcPr>
            <w:tcW w:w="4077" w:type="dxa"/>
            <w:vAlign w:val="center"/>
          </w:tcPr>
          <w:p w:rsidR="00DB7DCF" w:rsidRPr="002D2880" w:rsidRDefault="002D2880" w:rsidP="002D2880">
            <w:pPr>
              <w:tabs>
                <w:tab w:val="left" w:pos="8505"/>
              </w:tabs>
              <w:rPr>
                <w:lang w:val="en-US"/>
              </w:rPr>
            </w:pPr>
            <w:r w:rsidRPr="002D2880">
              <w:rPr>
                <w:rFonts w:ascii="Arial" w:hAnsi="Arial" w:cs="Arial"/>
                <w:sz w:val="18"/>
                <w:szCs w:val="18"/>
                <w:lang w:val="en-US"/>
              </w:rPr>
              <w:t xml:space="preserve">EBT </w:t>
            </w:r>
            <w:r w:rsidR="00DB7DCF" w:rsidRPr="002D2880">
              <w:rPr>
                <w:rFonts w:ascii="Arial" w:hAnsi="Arial"/>
                <w:sz w:val="18"/>
                <w:lang w:val="en-US"/>
              </w:rPr>
              <w:t xml:space="preserve"> [€ million]</w:t>
            </w:r>
          </w:p>
        </w:tc>
        <w:tc>
          <w:tcPr>
            <w:tcW w:w="1276" w:type="dxa"/>
            <w:vAlign w:val="center"/>
          </w:tcPr>
          <w:p w:rsidR="00DB7DCF" w:rsidRPr="002D2880" w:rsidRDefault="002D2880" w:rsidP="002D2880">
            <w:pPr>
              <w:tabs>
                <w:tab w:val="left" w:pos="8505"/>
              </w:tabs>
              <w:jc w:val="right"/>
              <w:rPr>
                <w:rFonts w:ascii="Arial" w:hAnsi="Arial" w:cs="Arial"/>
                <w:sz w:val="18"/>
                <w:szCs w:val="18"/>
                <w:lang w:val="en-US"/>
              </w:rPr>
            </w:pPr>
            <w:r w:rsidRPr="002D2880">
              <w:rPr>
                <w:rFonts w:ascii="Arial" w:hAnsi="Arial" w:cs="Arial"/>
                <w:sz w:val="18"/>
                <w:szCs w:val="18"/>
                <w:lang w:val="en-US"/>
              </w:rPr>
              <w:t>27.8</w:t>
            </w:r>
            <w:r w:rsidR="00DB7DCF" w:rsidRPr="002D2880">
              <w:rPr>
                <w:rFonts w:ascii="Arial" w:hAnsi="Arial" w:cs="Arial"/>
                <w:sz w:val="18"/>
                <w:szCs w:val="18"/>
                <w:lang w:val="en-US"/>
              </w:rPr>
              <w:t xml:space="preserve"> </w:t>
            </w:r>
          </w:p>
        </w:tc>
        <w:tc>
          <w:tcPr>
            <w:tcW w:w="1276" w:type="dxa"/>
            <w:vAlign w:val="center"/>
          </w:tcPr>
          <w:p w:rsidR="00DB7DCF" w:rsidRPr="002D2880" w:rsidRDefault="002D2880" w:rsidP="002D2880">
            <w:pPr>
              <w:tabs>
                <w:tab w:val="left" w:pos="8505"/>
              </w:tabs>
              <w:jc w:val="right"/>
              <w:rPr>
                <w:rFonts w:ascii="Arial" w:hAnsi="Arial" w:cs="Arial"/>
                <w:sz w:val="18"/>
                <w:szCs w:val="18"/>
                <w:lang w:val="en-US"/>
              </w:rPr>
            </w:pPr>
            <w:r w:rsidRPr="002D2880">
              <w:rPr>
                <w:rFonts w:ascii="Arial" w:hAnsi="Arial" w:cs="Arial"/>
                <w:sz w:val="18"/>
                <w:szCs w:val="18"/>
                <w:lang w:val="en-US"/>
              </w:rPr>
              <w:t>43</w:t>
            </w:r>
            <w:r>
              <w:rPr>
                <w:rFonts w:ascii="Arial" w:hAnsi="Arial" w:cs="Arial"/>
                <w:sz w:val="18"/>
                <w:szCs w:val="18"/>
                <w:lang w:val="en-US"/>
              </w:rPr>
              <w:t>.</w:t>
            </w:r>
            <w:r w:rsidRPr="002D2880">
              <w:rPr>
                <w:rFonts w:ascii="Arial" w:hAnsi="Arial" w:cs="Arial"/>
                <w:sz w:val="18"/>
                <w:szCs w:val="18"/>
                <w:lang w:val="en-US"/>
              </w:rPr>
              <w:t>7</w:t>
            </w:r>
          </w:p>
        </w:tc>
        <w:tc>
          <w:tcPr>
            <w:tcW w:w="1276" w:type="dxa"/>
            <w:vAlign w:val="center"/>
          </w:tcPr>
          <w:p w:rsidR="00DB7DCF" w:rsidRPr="002D2880" w:rsidRDefault="002D2880" w:rsidP="002D2880">
            <w:pPr>
              <w:tabs>
                <w:tab w:val="left" w:pos="8505"/>
              </w:tabs>
              <w:jc w:val="right"/>
              <w:rPr>
                <w:rFonts w:ascii="Arial" w:hAnsi="Arial" w:cs="Arial"/>
                <w:sz w:val="18"/>
                <w:szCs w:val="18"/>
                <w:lang w:val="en-US"/>
              </w:rPr>
            </w:pPr>
            <w:r w:rsidRPr="002D2880">
              <w:rPr>
                <w:rFonts w:ascii="Arial" w:hAnsi="Arial" w:cs="Arial"/>
                <w:sz w:val="18"/>
                <w:szCs w:val="18"/>
                <w:lang w:val="en-US"/>
              </w:rPr>
              <w:t>(36.4) %</w:t>
            </w:r>
          </w:p>
        </w:tc>
      </w:tr>
      <w:tr w:rsidR="00DB7DCF" w:rsidRPr="002D2880" w:rsidTr="00B8338C">
        <w:trPr>
          <w:trHeight w:hRule="exact" w:val="284"/>
        </w:trPr>
        <w:tc>
          <w:tcPr>
            <w:tcW w:w="4077" w:type="dxa"/>
            <w:vAlign w:val="center"/>
          </w:tcPr>
          <w:p w:rsidR="00DB7DCF" w:rsidRPr="00B260C6" w:rsidRDefault="00DB7DCF" w:rsidP="007F08F8">
            <w:pPr>
              <w:tabs>
                <w:tab w:val="left" w:pos="8505"/>
              </w:tabs>
              <w:rPr>
                <w:lang w:val="en-US"/>
              </w:rPr>
            </w:pPr>
            <w:r w:rsidRPr="007F08F8">
              <w:rPr>
                <w:rFonts w:ascii="Arial" w:hAnsi="Arial"/>
                <w:sz w:val="18"/>
                <w:lang w:val="en-GB"/>
              </w:rPr>
              <w:t>Consolidated net income [€ million]</w:t>
            </w:r>
          </w:p>
        </w:tc>
        <w:tc>
          <w:tcPr>
            <w:tcW w:w="1276" w:type="dxa"/>
            <w:vAlign w:val="center"/>
          </w:tcPr>
          <w:p w:rsidR="00DB7DCF" w:rsidRPr="002D2880" w:rsidRDefault="00DB7DCF" w:rsidP="002D2880">
            <w:pPr>
              <w:tabs>
                <w:tab w:val="left" w:pos="8505"/>
              </w:tabs>
              <w:jc w:val="right"/>
              <w:rPr>
                <w:rFonts w:ascii="Arial" w:hAnsi="Arial" w:cs="Arial"/>
                <w:sz w:val="18"/>
                <w:szCs w:val="18"/>
                <w:lang w:val="en-US"/>
              </w:rPr>
            </w:pPr>
            <w:r w:rsidRPr="002D2880">
              <w:rPr>
                <w:rFonts w:ascii="Arial" w:hAnsi="Arial" w:cs="Arial"/>
                <w:sz w:val="18"/>
                <w:szCs w:val="18"/>
                <w:lang w:val="en-US"/>
              </w:rPr>
              <w:t>16</w:t>
            </w:r>
            <w:r w:rsidR="002D2880" w:rsidRPr="002D2880">
              <w:rPr>
                <w:rFonts w:ascii="Arial" w:hAnsi="Arial" w:cs="Arial"/>
                <w:sz w:val="18"/>
                <w:szCs w:val="18"/>
                <w:lang w:val="en-US"/>
              </w:rPr>
              <w:t>.</w:t>
            </w:r>
            <w:r w:rsidRPr="002D2880">
              <w:rPr>
                <w:rFonts w:ascii="Arial" w:hAnsi="Arial" w:cs="Arial"/>
                <w:sz w:val="18"/>
                <w:szCs w:val="18"/>
                <w:lang w:val="en-US"/>
              </w:rPr>
              <w:t>8</w:t>
            </w:r>
          </w:p>
        </w:tc>
        <w:tc>
          <w:tcPr>
            <w:tcW w:w="1276" w:type="dxa"/>
            <w:vAlign w:val="center"/>
          </w:tcPr>
          <w:p w:rsidR="00DB7DCF" w:rsidRPr="002D2880" w:rsidRDefault="00DB7DCF" w:rsidP="002D2880">
            <w:pPr>
              <w:tabs>
                <w:tab w:val="left" w:pos="8505"/>
              </w:tabs>
              <w:jc w:val="right"/>
              <w:rPr>
                <w:rFonts w:ascii="Arial" w:hAnsi="Arial" w:cs="Arial"/>
                <w:sz w:val="18"/>
                <w:szCs w:val="18"/>
                <w:lang w:val="en-US"/>
              </w:rPr>
            </w:pPr>
            <w:r w:rsidRPr="002D2880">
              <w:rPr>
                <w:rFonts w:ascii="Arial" w:hAnsi="Arial" w:cs="Arial"/>
                <w:sz w:val="18"/>
                <w:szCs w:val="18"/>
                <w:lang w:val="en-US"/>
              </w:rPr>
              <w:t>31</w:t>
            </w:r>
            <w:r w:rsidR="002D2880">
              <w:rPr>
                <w:rFonts w:ascii="Arial" w:hAnsi="Arial" w:cs="Arial"/>
                <w:sz w:val="18"/>
                <w:szCs w:val="18"/>
                <w:lang w:val="en-US"/>
              </w:rPr>
              <w:t>.</w:t>
            </w:r>
            <w:r w:rsidRPr="002D2880">
              <w:rPr>
                <w:rFonts w:ascii="Arial" w:hAnsi="Arial" w:cs="Arial"/>
                <w:sz w:val="18"/>
                <w:szCs w:val="18"/>
                <w:lang w:val="en-US"/>
              </w:rPr>
              <w:t>6</w:t>
            </w:r>
          </w:p>
        </w:tc>
        <w:tc>
          <w:tcPr>
            <w:tcW w:w="1276" w:type="dxa"/>
            <w:vAlign w:val="center"/>
          </w:tcPr>
          <w:p w:rsidR="00DB7DCF" w:rsidRPr="002D2880" w:rsidRDefault="002D2880" w:rsidP="002D2880">
            <w:pPr>
              <w:tabs>
                <w:tab w:val="left" w:pos="8505"/>
              </w:tabs>
              <w:jc w:val="right"/>
              <w:rPr>
                <w:rFonts w:ascii="Arial" w:hAnsi="Arial" w:cs="Arial"/>
                <w:sz w:val="18"/>
                <w:szCs w:val="18"/>
                <w:lang w:val="en-US"/>
              </w:rPr>
            </w:pPr>
            <w:r>
              <w:rPr>
                <w:rFonts w:ascii="Arial" w:hAnsi="Arial" w:cs="Arial"/>
                <w:sz w:val="18"/>
                <w:szCs w:val="18"/>
                <w:lang w:val="en-US"/>
              </w:rPr>
              <w:t>(</w:t>
            </w:r>
            <w:r w:rsidR="00DB7DCF" w:rsidRPr="002D2880">
              <w:rPr>
                <w:rFonts w:ascii="Arial" w:hAnsi="Arial" w:cs="Arial"/>
                <w:sz w:val="18"/>
                <w:szCs w:val="18"/>
                <w:lang w:val="en-US"/>
              </w:rPr>
              <w:t>46</w:t>
            </w:r>
            <w:r w:rsidRPr="002D2880">
              <w:rPr>
                <w:rFonts w:ascii="Arial" w:hAnsi="Arial" w:cs="Arial"/>
                <w:sz w:val="18"/>
                <w:szCs w:val="18"/>
                <w:lang w:val="en-US"/>
              </w:rPr>
              <w:t>.</w:t>
            </w:r>
            <w:r w:rsidR="00DB7DCF" w:rsidRPr="002D2880">
              <w:rPr>
                <w:rFonts w:ascii="Arial" w:hAnsi="Arial" w:cs="Arial"/>
                <w:sz w:val="18"/>
                <w:szCs w:val="18"/>
                <w:lang w:val="en-US"/>
              </w:rPr>
              <w:t>8</w:t>
            </w:r>
            <w:r>
              <w:rPr>
                <w:rFonts w:ascii="Arial" w:hAnsi="Arial" w:cs="Arial"/>
                <w:sz w:val="18"/>
                <w:szCs w:val="18"/>
                <w:lang w:val="en-US"/>
              </w:rPr>
              <w:t>)</w:t>
            </w:r>
            <w:r w:rsidR="00DB7DCF" w:rsidRPr="002D2880">
              <w:rPr>
                <w:rFonts w:ascii="Arial" w:hAnsi="Arial" w:cs="Arial"/>
                <w:sz w:val="18"/>
                <w:szCs w:val="18"/>
                <w:lang w:val="en-US"/>
              </w:rPr>
              <w:t xml:space="preserve"> %</w:t>
            </w:r>
          </w:p>
        </w:tc>
      </w:tr>
      <w:tr w:rsidR="00DB7DCF" w:rsidRPr="002D2880" w:rsidTr="00B8338C">
        <w:trPr>
          <w:trHeight w:hRule="exact" w:val="284"/>
        </w:trPr>
        <w:tc>
          <w:tcPr>
            <w:tcW w:w="4077" w:type="dxa"/>
            <w:vAlign w:val="center"/>
          </w:tcPr>
          <w:p w:rsidR="00DB7DCF" w:rsidRPr="008203D4" w:rsidRDefault="00DB7DCF" w:rsidP="00B260C6">
            <w:pPr>
              <w:tabs>
                <w:tab w:val="left" w:pos="8505"/>
              </w:tabs>
              <w:rPr>
                <w:lang w:val="en-US"/>
              </w:rPr>
            </w:pPr>
            <w:r w:rsidRPr="007F08F8">
              <w:rPr>
                <w:rFonts w:ascii="Arial" w:hAnsi="Arial"/>
                <w:sz w:val="18"/>
                <w:lang w:val="en-GB"/>
              </w:rPr>
              <w:t>Capex [€ million]</w:t>
            </w:r>
          </w:p>
        </w:tc>
        <w:tc>
          <w:tcPr>
            <w:tcW w:w="1276" w:type="dxa"/>
            <w:vAlign w:val="center"/>
          </w:tcPr>
          <w:p w:rsidR="00DB7DCF" w:rsidRPr="00DA2F0D" w:rsidRDefault="00DB7DCF" w:rsidP="002D2880">
            <w:pPr>
              <w:tabs>
                <w:tab w:val="left" w:pos="8505"/>
              </w:tabs>
              <w:jc w:val="right"/>
              <w:rPr>
                <w:rFonts w:ascii="Arial" w:hAnsi="Arial" w:cs="Arial"/>
                <w:sz w:val="18"/>
                <w:szCs w:val="18"/>
                <w:lang w:val="en-US"/>
              </w:rPr>
            </w:pPr>
            <w:r>
              <w:rPr>
                <w:rFonts w:ascii="Arial" w:hAnsi="Arial" w:cs="Arial"/>
                <w:sz w:val="18"/>
                <w:szCs w:val="18"/>
                <w:lang w:val="en-US"/>
              </w:rPr>
              <w:t>38</w:t>
            </w:r>
            <w:r w:rsidR="002D2880">
              <w:rPr>
                <w:rFonts w:ascii="Arial" w:hAnsi="Arial" w:cs="Arial"/>
                <w:sz w:val="18"/>
                <w:szCs w:val="18"/>
                <w:lang w:val="en-US"/>
              </w:rPr>
              <w:t>.</w:t>
            </w:r>
            <w:r>
              <w:rPr>
                <w:rFonts w:ascii="Arial" w:hAnsi="Arial" w:cs="Arial"/>
                <w:sz w:val="18"/>
                <w:szCs w:val="18"/>
                <w:lang w:val="en-US"/>
              </w:rPr>
              <w:t>1</w:t>
            </w:r>
          </w:p>
        </w:tc>
        <w:tc>
          <w:tcPr>
            <w:tcW w:w="1276" w:type="dxa"/>
            <w:vAlign w:val="center"/>
          </w:tcPr>
          <w:p w:rsidR="00DB7DCF" w:rsidRPr="00DA2F0D" w:rsidRDefault="00DB7DCF" w:rsidP="002D2880">
            <w:pPr>
              <w:tabs>
                <w:tab w:val="left" w:pos="8505"/>
              </w:tabs>
              <w:jc w:val="right"/>
              <w:rPr>
                <w:rFonts w:ascii="Arial" w:hAnsi="Arial" w:cs="Arial"/>
                <w:sz w:val="18"/>
                <w:szCs w:val="18"/>
                <w:lang w:val="en-US"/>
              </w:rPr>
            </w:pPr>
            <w:r>
              <w:rPr>
                <w:rFonts w:ascii="Arial" w:hAnsi="Arial" w:cs="Arial"/>
                <w:sz w:val="18"/>
                <w:szCs w:val="18"/>
                <w:lang w:val="en-US"/>
              </w:rPr>
              <w:t>35</w:t>
            </w:r>
            <w:r w:rsidR="002D2880">
              <w:rPr>
                <w:rFonts w:ascii="Arial" w:hAnsi="Arial" w:cs="Arial"/>
                <w:sz w:val="18"/>
                <w:szCs w:val="18"/>
                <w:lang w:val="en-US"/>
              </w:rPr>
              <w:t>.</w:t>
            </w:r>
            <w:r>
              <w:rPr>
                <w:rFonts w:ascii="Arial" w:hAnsi="Arial" w:cs="Arial"/>
                <w:sz w:val="18"/>
                <w:szCs w:val="18"/>
                <w:lang w:val="en-US"/>
              </w:rPr>
              <w:t>1</w:t>
            </w:r>
          </w:p>
        </w:tc>
        <w:tc>
          <w:tcPr>
            <w:tcW w:w="1276" w:type="dxa"/>
            <w:vAlign w:val="center"/>
          </w:tcPr>
          <w:p w:rsidR="00DB7DCF" w:rsidRPr="00DA2F0D" w:rsidRDefault="00DB7DCF" w:rsidP="002D2880">
            <w:pPr>
              <w:tabs>
                <w:tab w:val="left" w:pos="8505"/>
              </w:tabs>
              <w:jc w:val="right"/>
              <w:rPr>
                <w:rFonts w:ascii="Arial" w:hAnsi="Arial" w:cs="Arial"/>
                <w:sz w:val="18"/>
                <w:szCs w:val="18"/>
                <w:lang w:val="en-US"/>
              </w:rPr>
            </w:pPr>
            <w:r>
              <w:rPr>
                <w:rFonts w:ascii="Arial" w:hAnsi="Arial" w:cs="Arial"/>
                <w:sz w:val="18"/>
                <w:szCs w:val="18"/>
                <w:lang w:val="en-US"/>
              </w:rPr>
              <w:t>+8</w:t>
            </w:r>
            <w:r w:rsidR="002D2880">
              <w:rPr>
                <w:rFonts w:ascii="Arial" w:hAnsi="Arial" w:cs="Arial"/>
                <w:sz w:val="18"/>
                <w:szCs w:val="18"/>
                <w:lang w:val="en-US"/>
              </w:rPr>
              <w:t>.</w:t>
            </w:r>
            <w:r>
              <w:rPr>
                <w:rFonts w:ascii="Arial" w:hAnsi="Arial" w:cs="Arial"/>
                <w:sz w:val="18"/>
                <w:szCs w:val="18"/>
                <w:lang w:val="en-US"/>
              </w:rPr>
              <w:t>5 %</w:t>
            </w:r>
          </w:p>
        </w:tc>
      </w:tr>
      <w:tr w:rsidR="00DB7DCF" w:rsidRPr="002D2880" w:rsidTr="007F08F8">
        <w:trPr>
          <w:trHeight w:hRule="exact" w:val="284"/>
        </w:trPr>
        <w:tc>
          <w:tcPr>
            <w:tcW w:w="4077" w:type="dxa"/>
            <w:vAlign w:val="center"/>
          </w:tcPr>
          <w:p w:rsidR="00DB7DCF" w:rsidRPr="007F08F8" w:rsidRDefault="00DB7DCF" w:rsidP="007F08F8">
            <w:pPr>
              <w:tabs>
                <w:tab w:val="left" w:pos="8505"/>
              </w:tabs>
              <w:rPr>
                <w:rFonts w:ascii="Arial" w:hAnsi="Arial"/>
                <w:sz w:val="18"/>
                <w:lang w:val="en-GB"/>
              </w:rPr>
            </w:pPr>
            <w:r w:rsidRPr="007F08F8">
              <w:rPr>
                <w:rFonts w:ascii="Arial" w:hAnsi="Arial"/>
                <w:sz w:val="18"/>
                <w:lang w:val="en-GB"/>
              </w:rPr>
              <w:t>Equity ratio [%]</w:t>
            </w:r>
          </w:p>
        </w:tc>
        <w:tc>
          <w:tcPr>
            <w:tcW w:w="1276" w:type="dxa"/>
            <w:vAlign w:val="center"/>
          </w:tcPr>
          <w:p w:rsidR="00DB7DCF" w:rsidRPr="002D2880" w:rsidRDefault="00DB7DCF" w:rsidP="002D2880">
            <w:pPr>
              <w:tabs>
                <w:tab w:val="left" w:pos="8505"/>
              </w:tabs>
              <w:jc w:val="right"/>
              <w:rPr>
                <w:rFonts w:ascii="Arial" w:hAnsi="Arial" w:cs="Arial"/>
                <w:sz w:val="18"/>
                <w:szCs w:val="18"/>
                <w:lang w:val="en-US"/>
              </w:rPr>
            </w:pPr>
            <w:r w:rsidRPr="002D2880">
              <w:rPr>
                <w:rFonts w:ascii="Arial" w:hAnsi="Arial" w:cs="Arial"/>
                <w:sz w:val="18"/>
                <w:szCs w:val="18"/>
                <w:lang w:val="en-US"/>
              </w:rPr>
              <w:t>33</w:t>
            </w:r>
            <w:r w:rsidR="002D2880">
              <w:rPr>
                <w:rFonts w:ascii="Arial" w:hAnsi="Arial" w:cs="Arial"/>
                <w:sz w:val="18"/>
                <w:szCs w:val="18"/>
                <w:lang w:val="en-US"/>
              </w:rPr>
              <w:t>.</w:t>
            </w:r>
            <w:r w:rsidRPr="002D2880">
              <w:rPr>
                <w:rFonts w:ascii="Arial" w:hAnsi="Arial" w:cs="Arial"/>
                <w:sz w:val="18"/>
                <w:szCs w:val="18"/>
                <w:lang w:val="en-US"/>
              </w:rPr>
              <w:t xml:space="preserve">3 </w:t>
            </w:r>
          </w:p>
        </w:tc>
        <w:tc>
          <w:tcPr>
            <w:tcW w:w="1276" w:type="dxa"/>
            <w:vAlign w:val="center"/>
          </w:tcPr>
          <w:p w:rsidR="00DB7DCF" w:rsidRPr="002D2880" w:rsidRDefault="00DB7DCF" w:rsidP="002D2880">
            <w:pPr>
              <w:tabs>
                <w:tab w:val="left" w:pos="8505"/>
              </w:tabs>
              <w:jc w:val="right"/>
              <w:rPr>
                <w:rFonts w:ascii="Arial" w:hAnsi="Arial" w:cs="Arial"/>
                <w:sz w:val="18"/>
                <w:szCs w:val="18"/>
                <w:lang w:val="en-US"/>
              </w:rPr>
            </w:pPr>
            <w:r w:rsidRPr="002D2880">
              <w:rPr>
                <w:rFonts w:ascii="Arial" w:hAnsi="Arial" w:cs="Arial"/>
                <w:sz w:val="18"/>
                <w:szCs w:val="18"/>
                <w:lang w:val="en-US"/>
              </w:rPr>
              <w:t>34</w:t>
            </w:r>
            <w:r w:rsidR="002D2880">
              <w:rPr>
                <w:rFonts w:ascii="Arial" w:hAnsi="Arial" w:cs="Arial"/>
                <w:sz w:val="18"/>
                <w:szCs w:val="18"/>
                <w:lang w:val="en-US"/>
              </w:rPr>
              <w:t>.</w:t>
            </w:r>
            <w:r w:rsidRPr="002D2880">
              <w:rPr>
                <w:rFonts w:ascii="Arial" w:hAnsi="Arial" w:cs="Arial"/>
                <w:sz w:val="18"/>
                <w:szCs w:val="18"/>
                <w:lang w:val="en-US"/>
              </w:rPr>
              <w:t>2</w:t>
            </w:r>
          </w:p>
        </w:tc>
        <w:tc>
          <w:tcPr>
            <w:tcW w:w="1276" w:type="dxa"/>
            <w:vAlign w:val="center"/>
          </w:tcPr>
          <w:p w:rsidR="00DB7DCF" w:rsidRPr="002D2880" w:rsidRDefault="00DB7DCF" w:rsidP="00BF0F40">
            <w:pPr>
              <w:tabs>
                <w:tab w:val="left" w:pos="8505"/>
              </w:tabs>
              <w:jc w:val="right"/>
              <w:rPr>
                <w:rFonts w:ascii="Arial" w:hAnsi="Arial" w:cs="Arial"/>
                <w:sz w:val="18"/>
                <w:szCs w:val="18"/>
                <w:lang w:val="en-US"/>
              </w:rPr>
            </w:pPr>
            <w:r w:rsidRPr="002D2880">
              <w:rPr>
                <w:rFonts w:ascii="Arial" w:hAnsi="Arial" w:cs="Arial"/>
                <w:sz w:val="18"/>
                <w:szCs w:val="18"/>
                <w:lang w:val="en-US"/>
              </w:rPr>
              <w:t>--</w:t>
            </w:r>
          </w:p>
        </w:tc>
      </w:tr>
      <w:tr w:rsidR="00DB7DCF" w:rsidRPr="002D2880" w:rsidTr="00B8338C">
        <w:trPr>
          <w:trHeight w:hRule="exact" w:val="284"/>
        </w:trPr>
        <w:tc>
          <w:tcPr>
            <w:tcW w:w="4077" w:type="dxa"/>
            <w:vAlign w:val="center"/>
          </w:tcPr>
          <w:p w:rsidR="00DB7DCF" w:rsidRPr="008203D4" w:rsidRDefault="00DB7DCF" w:rsidP="007F08F8">
            <w:pPr>
              <w:tabs>
                <w:tab w:val="left" w:pos="8505"/>
              </w:tabs>
              <w:rPr>
                <w:lang w:val="en-US"/>
              </w:rPr>
            </w:pPr>
            <w:r w:rsidRPr="007F08F8">
              <w:rPr>
                <w:rFonts w:ascii="Arial" w:hAnsi="Arial"/>
                <w:sz w:val="18"/>
                <w:lang w:val="en-GB"/>
              </w:rPr>
              <w:t>Earnings per share [€]</w:t>
            </w:r>
          </w:p>
        </w:tc>
        <w:tc>
          <w:tcPr>
            <w:tcW w:w="1276" w:type="dxa"/>
            <w:vAlign w:val="center"/>
          </w:tcPr>
          <w:p w:rsidR="00DB7DCF" w:rsidRPr="002D2880" w:rsidRDefault="00DB7DCF" w:rsidP="002D2880">
            <w:pPr>
              <w:tabs>
                <w:tab w:val="left" w:pos="8505"/>
              </w:tabs>
              <w:jc w:val="right"/>
              <w:rPr>
                <w:rFonts w:ascii="Arial" w:hAnsi="Arial" w:cs="Arial"/>
                <w:sz w:val="18"/>
                <w:szCs w:val="18"/>
                <w:lang w:val="en-US"/>
              </w:rPr>
            </w:pPr>
            <w:r w:rsidRPr="002D2880">
              <w:rPr>
                <w:rFonts w:ascii="Arial" w:hAnsi="Arial" w:cs="Arial"/>
                <w:sz w:val="18"/>
                <w:szCs w:val="18"/>
                <w:lang w:val="en-US"/>
              </w:rPr>
              <w:t>0</w:t>
            </w:r>
            <w:r w:rsidR="002D2880">
              <w:rPr>
                <w:rFonts w:ascii="Arial" w:hAnsi="Arial" w:cs="Arial"/>
                <w:sz w:val="18"/>
                <w:szCs w:val="18"/>
                <w:lang w:val="en-US"/>
              </w:rPr>
              <w:t>.</w:t>
            </w:r>
            <w:r w:rsidRPr="002D2880">
              <w:rPr>
                <w:rFonts w:ascii="Arial" w:hAnsi="Arial" w:cs="Arial"/>
                <w:sz w:val="18"/>
                <w:szCs w:val="18"/>
                <w:lang w:val="en-US"/>
              </w:rPr>
              <w:t>51</w:t>
            </w:r>
          </w:p>
        </w:tc>
        <w:tc>
          <w:tcPr>
            <w:tcW w:w="1276" w:type="dxa"/>
            <w:vAlign w:val="center"/>
          </w:tcPr>
          <w:p w:rsidR="00DB7DCF" w:rsidRPr="002D2880" w:rsidRDefault="00DB7DCF" w:rsidP="002D2880">
            <w:pPr>
              <w:tabs>
                <w:tab w:val="left" w:pos="8505"/>
              </w:tabs>
              <w:jc w:val="right"/>
              <w:rPr>
                <w:rFonts w:ascii="Arial" w:hAnsi="Arial" w:cs="Arial"/>
                <w:sz w:val="18"/>
                <w:szCs w:val="18"/>
                <w:lang w:val="en-US"/>
              </w:rPr>
            </w:pPr>
            <w:r w:rsidRPr="002D2880">
              <w:rPr>
                <w:rFonts w:ascii="Arial" w:hAnsi="Arial" w:cs="Arial"/>
                <w:sz w:val="18"/>
                <w:szCs w:val="18"/>
                <w:lang w:val="en-US"/>
              </w:rPr>
              <w:t>0</w:t>
            </w:r>
            <w:r w:rsidR="002D2880">
              <w:rPr>
                <w:rFonts w:ascii="Arial" w:hAnsi="Arial" w:cs="Arial"/>
                <w:sz w:val="18"/>
                <w:szCs w:val="18"/>
                <w:lang w:val="en-US"/>
              </w:rPr>
              <w:t>.</w:t>
            </w:r>
            <w:r w:rsidRPr="002D2880">
              <w:rPr>
                <w:rFonts w:ascii="Arial" w:hAnsi="Arial" w:cs="Arial"/>
                <w:sz w:val="18"/>
                <w:szCs w:val="18"/>
                <w:lang w:val="en-US"/>
              </w:rPr>
              <w:t>96</w:t>
            </w:r>
          </w:p>
        </w:tc>
        <w:tc>
          <w:tcPr>
            <w:tcW w:w="1276" w:type="dxa"/>
            <w:vAlign w:val="center"/>
          </w:tcPr>
          <w:p w:rsidR="00DB7DCF" w:rsidRPr="002D2880" w:rsidRDefault="002D2880" w:rsidP="002D2880">
            <w:pPr>
              <w:tabs>
                <w:tab w:val="left" w:pos="8505"/>
              </w:tabs>
              <w:jc w:val="right"/>
              <w:rPr>
                <w:rFonts w:ascii="Arial" w:hAnsi="Arial" w:cs="Arial"/>
                <w:sz w:val="18"/>
                <w:szCs w:val="18"/>
                <w:lang w:val="en-US"/>
              </w:rPr>
            </w:pPr>
            <w:r>
              <w:rPr>
                <w:rFonts w:ascii="Arial" w:hAnsi="Arial" w:cs="Arial"/>
                <w:sz w:val="18"/>
                <w:szCs w:val="18"/>
                <w:lang w:val="en-US"/>
              </w:rPr>
              <w:t>(</w:t>
            </w:r>
            <w:r w:rsidR="00DB7DCF" w:rsidRPr="002D2880">
              <w:rPr>
                <w:rFonts w:ascii="Arial" w:hAnsi="Arial" w:cs="Arial"/>
                <w:sz w:val="18"/>
                <w:szCs w:val="18"/>
                <w:lang w:val="en-US"/>
              </w:rPr>
              <w:t>46</w:t>
            </w:r>
            <w:r>
              <w:rPr>
                <w:rFonts w:ascii="Arial" w:hAnsi="Arial" w:cs="Arial"/>
                <w:sz w:val="18"/>
                <w:szCs w:val="18"/>
                <w:lang w:val="en-US"/>
              </w:rPr>
              <w:t>.</w:t>
            </w:r>
            <w:r w:rsidR="00DB7DCF" w:rsidRPr="002D2880">
              <w:rPr>
                <w:rFonts w:ascii="Arial" w:hAnsi="Arial" w:cs="Arial"/>
                <w:sz w:val="18"/>
                <w:szCs w:val="18"/>
                <w:lang w:val="en-US"/>
              </w:rPr>
              <w:t>9</w:t>
            </w:r>
            <w:r>
              <w:rPr>
                <w:rFonts w:ascii="Arial" w:hAnsi="Arial" w:cs="Arial"/>
                <w:sz w:val="18"/>
                <w:szCs w:val="18"/>
                <w:lang w:val="en-US"/>
              </w:rPr>
              <w:t>)</w:t>
            </w:r>
            <w:r w:rsidR="00DB7DCF" w:rsidRPr="002D2880">
              <w:rPr>
                <w:rFonts w:ascii="Arial" w:hAnsi="Arial" w:cs="Arial"/>
                <w:sz w:val="18"/>
                <w:szCs w:val="18"/>
                <w:lang w:val="en-US"/>
              </w:rPr>
              <w:t xml:space="preserve"> %</w:t>
            </w:r>
          </w:p>
        </w:tc>
      </w:tr>
      <w:tr w:rsidR="00DB7DCF" w:rsidRPr="00B260C6" w:rsidTr="00B8338C">
        <w:trPr>
          <w:trHeight w:hRule="exact" w:val="284"/>
        </w:trPr>
        <w:tc>
          <w:tcPr>
            <w:tcW w:w="4077" w:type="dxa"/>
            <w:vAlign w:val="center"/>
          </w:tcPr>
          <w:p w:rsidR="00DB7DCF" w:rsidRPr="008203D4" w:rsidRDefault="00DB7DCF" w:rsidP="007F08F8">
            <w:pPr>
              <w:tabs>
                <w:tab w:val="left" w:pos="8505"/>
              </w:tabs>
              <w:rPr>
                <w:lang w:val="en-US"/>
              </w:rPr>
            </w:pPr>
            <w:r w:rsidRPr="007F08F8">
              <w:rPr>
                <w:rFonts w:ascii="Arial" w:hAnsi="Arial"/>
                <w:sz w:val="18"/>
                <w:lang w:val="en-GB"/>
              </w:rPr>
              <w:t>Employees [as at 31 March]</w:t>
            </w:r>
          </w:p>
        </w:tc>
        <w:tc>
          <w:tcPr>
            <w:tcW w:w="1276" w:type="dxa"/>
            <w:vAlign w:val="center"/>
          </w:tcPr>
          <w:p w:rsidR="00DB7DCF" w:rsidRPr="007D4BEC" w:rsidRDefault="00DB7DCF" w:rsidP="00BF0F40">
            <w:pPr>
              <w:tabs>
                <w:tab w:val="left" w:pos="8505"/>
              </w:tabs>
              <w:jc w:val="right"/>
              <w:rPr>
                <w:rFonts w:ascii="Arial" w:hAnsi="Arial" w:cs="Arial"/>
                <w:sz w:val="18"/>
                <w:szCs w:val="18"/>
              </w:rPr>
            </w:pPr>
            <w:r>
              <w:rPr>
                <w:rFonts w:ascii="Arial" w:hAnsi="Arial" w:cs="Arial"/>
                <w:sz w:val="18"/>
                <w:szCs w:val="18"/>
              </w:rPr>
              <w:t>70.065</w:t>
            </w:r>
          </w:p>
        </w:tc>
        <w:tc>
          <w:tcPr>
            <w:tcW w:w="1276" w:type="dxa"/>
            <w:vAlign w:val="center"/>
          </w:tcPr>
          <w:p w:rsidR="00DB7DCF" w:rsidRPr="007D4BEC" w:rsidRDefault="00DB7DCF" w:rsidP="00BF0F40">
            <w:pPr>
              <w:tabs>
                <w:tab w:val="left" w:pos="8505"/>
              </w:tabs>
              <w:jc w:val="right"/>
              <w:rPr>
                <w:rFonts w:ascii="Arial" w:hAnsi="Arial" w:cs="Arial"/>
                <w:sz w:val="18"/>
                <w:szCs w:val="18"/>
              </w:rPr>
            </w:pPr>
            <w:r>
              <w:rPr>
                <w:rFonts w:ascii="Arial" w:hAnsi="Arial" w:cs="Arial"/>
                <w:sz w:val="18"/>
                <w:szCs w:val="18"/>
              </w:rPr>
              <w:t>64.071</w:t>
            </w:r>
          </w:p>
        </w:tc>
        <w:tc>
          <w:tcPr>
            <w:tcW w:w="1276" w:type="dxa"/>
            <w:vAlign w:val="center"/>
          </w:tcPr>
          <w:p w:rsidR="00DB7DCF" w:rsidRPr="007D4BEC" w:rsidRDefault="00DB7DCF" w:rsidP="00BF0F40">
            <w:pPr>
              <w:tabs>
                <w:tab w:val="left" w:pos="8505"/>
              </w:tabs>
              <w:jc w:val="right"/>
              <w:rPr>
                <w:rFonts w:ascii="Arial" w:hAnsi="Arial" w:cs="Arial"/>
                <w:sz w:val="18"/>
                <w:szCs w:val="18"/>
              </w:rPr>
            </w:pPr>
            <w:r>
              <w:rPr>
                <w:rFonts w:ascii="Arial" w:hAnsi="Arial" w:cs="Arial"/>
                <w:sz w:val="18"/>
                <w:szCs w:val="18"/>
              </w:rPr>
              <w:t>+9,4 %</w:t>
            </w:r>
          </w:p>
        </w:tc>
      </w:tr>
    </w:tbl>
    <w:p w:rsidR="007F08F8" w:rsidRPr="007F08F8" w:rsidRDefault="007F08F8" w:rsidP="006366F6">
      <w:pPr>
        <w:autoSpaceDE w:val="0"/>
        <w:autoSpaceDN w:val="0"/>
        <w:adjustRightInd w:val="0"/>
        <w:spacing w:line="240" w:lineRule="auto"/>
        <w:ind w:right="860"/>
        <w:rPr>
          <w:rFonts w:ascii="Arial" w:hAnsi="Arial"/>
          <w:lang w:val="en-US"/>
        </w:rPr>
      </w:pPr>
      <w:r>
        <w:rPr>
          <w:rFonts w:ascii="Arial" w:hAnsi="Arial"/>
          <w:i/>
          <w:sz w:val="16"/>
          <w:highlight w:val="green"/>
          <w:lang w:val="en-GB"/>
        </w:rPr>
        <w:br/>
      </w:r>
      <w:r w:rsidRPr="008D4891">
        <w:rPr>
          <w:rFonts w:ascii="Arial" w:hAnsi="Arial"/>
          <w:i/>
          <w:sz w:val="16"/>
          <w:lang w:val="en-GB"/>
        </w:rPr>
        <w:t xml:space="preserve">* Earnings adjusted for the impact of revaluation as part of allocating the prices of major acquisitions, restructuring, </w:t>
      </w:r>
      <w:proofErr w:type="gramStart"/>
      <w:r w:rsidRPr="008D4891">
        <w:rPr>
          <w:rFonts w:ascii="Arial" w:hAnsi="Arial"/>
          <w:i/>
          <w:sz w:val="16"/>
          <w:lang w:val="en-GB"/>
        </w:rPr>
        <w:t>impairment</w:t>
      </w:r>
      <w:proofErr w:type="gramEnd"/>
      <w:r w:rsidRPr="008D4891">
        <w:rPr>
          <w:rFonts w:ascii="Arial" w:hAnsi="Arial"/>
          <w:i/>
          <w:sz w:val="16"/>
          <w:lang w:val="en-GB"/>
        </w:rPr>
        <w:t xml:space="preserve"> of non-current assets, gains on business disposals and </w:t>
      </w:r>
      <w:r w:rsidR="000209BC">
        <w:rPr>
          <w:rFonts w:ascii="Arial" w:hAnsi="Arial"/>
          <w:i/>
          <w:sz w:val="16"/>
          <w:lang w:val="en-GB"/>
        </w:rPr>
        <w:t xml:space="preserve">on business </w:t>
      </w:r>
      <w:r w:rsidRPr="008D4891">
        <w:rPr>
          <w:rFonts w:ascii="Arial" w:hAnsi="Arial"/>
          <w:i/>
          <w:sz w:val="16"/>
          <w:lang w:val="en-GB"/>
        </w:rPr>
        <w:t>combinations including related derivatives</w:t>
      </w:r>
      <w:r w:rsidR="000209BC">
        <w:rPr>
          <w:rFonts w:ascii="Arial" w:hAnsi="Arial"/>
          <w:i/>
          <w:sz w:val="16"/>
          <w:lang w:val="en-US"/>
        </w:rPr>
        <w:t>.</w:t>
      </w:r>
    </w:p>
    <w:p w:rsidR="0098775F" w:rsidRPr="000E4BEA" w:rsidRDefault="0098775F" w:rsidP="000E4BEA">
      <w:pPr>
        <w:spacing w:before="120" w:after="0" w:line="240" w:lineRule="auto"/>
        <w:ind w:right="1922"/>
        <w:rPr>
          <w:rFonts w:ascii="Arial" w:hAnsi="Arial"/>
          <w:i/>
          <w:lang w:val="en-GB"/>
        </w:rPr>
      </w:pPr>
      <w:r w:rsidRPr="00C85271">
        <w:rPr>
          <w:rFonts w:ascii="Arial" w:hAnsi="Arial"/>
          <w:sz w:val="36"/>
          <w:szCs w:val="36"/>
          <w:lang w:val="en-GB"/>
        </w:rPr>
        <w:lastRenderedPageBreak/>
        <w:sym w:font="Wingdings" w:char="F046"/>
      </w:r>
      <w:r w:rsidRPr="00C85271">
        <w:rPr>
          <w:rFonts w:ascii="Arial" w:hAnsi="Arial"/>
          <w:i/>
          <w:sz w:val="20"/>
          <w:lang w:val="en-GB"/>
        </w:rPr>
        <w:t xml:space="preserve"> </w:t>
      </w:r>
      <w:r w:rsidR="000E4BEA" w:rsidRPr="004376F3">
        <w:rPr>
          <w:rFonts w:ascii="Arial" w:hAnsi="Arial" w:cs="Arial"/>
          <w:i/>
          <w:lang w:val="en-GB"/>
        </w:rPr>
        <w:t>Related illustration material can be downloaded next to this release at</w:t>
      </w:r>
      <w:r w:rsidR="000E4BEA">
        <w:rPr>
          <w:rFonts w:ascii="Arial" w:hAnsi="Arial" w:cs="Arial"/>
          <w:i/>
          <w:lang w:val="en-GB"/>
        </w:rPr>
        <w:t xml:space="preserve"> </w:t>
      </w:r>
      <w:hyperlink r:id="rId8" w:history="1">
        <w:r w:rsidR="000E4BEA" w:rsidRPr="00406373">
          <w:rPr>
            <w:rStyle w:val="Hyperlink"/>
            <w:rFonts w:ascii="Arial" w:hAnsi="Arial" w:cs="Arial"/>
            <w:i/>
            <w:lang w:val="en-GB"/>
          </w:rPr>
          <w:t>www.leoni.com/en/press/releases/details/leoni-with-a-new-sales-high-in-the-first-quarter-of-2015/</w:t>
        </w:r>
      </w:hyperlink>
      <w:r w:rsidR="000E4BEA">
        <w:rPr>
          <w:rFonts w:ascii="Arial" w:hAnsi="Arial" w:cs="Arial"/>
          <w:i/>
          <w:lang w:val="en-GB"/>
        </w:rPr>
        <w:t xml:space="preserve"> </w:t>
      </w:r>
      <w:r w:rsidR="000E4BEA">
        <w:rPr>
          <w:rFonts w:ascii="Arial" w:hAnsi="Arial" w:cs="Arial"/>
          <w:i/>
          <w:lang w:val="en-GB"/>
        </w:rPr>
        <w:br/>
      </w:r>
      <w:r w:rsidR="00E26F48" w:rsidRPr="002C049D">
        <w:rPr>
          <w:rFonts w:ascii="Arial" w:hAnsi="Arial"/>
          <w:sz w:val="36"/>
          <w:szCs w:val="36"/>
          <w:lang w:val="en-GB"/>
        </w:rPr>
        <w:sym w:font="Wingdings" w:char="F046"/>
      </w:r>
      <w:r w:rsidR="00E26F48" w:rsidRPr="002C049D">
        <w:rPr>
          <w:rFonts w:ascii="Arial" w:hAnsi="Arial"/>
          <w:i/>
          <w:sz w:val="20"/>
          <w:lang w:val="en-GB"/>
        </w:rPr>
        <w:t xml:space="preserve"> </w:t>
      </w:r>
      <w:proofErr w:type="gramStart"/>
      <w:r w:rsidR="00E26F48" w:rsidRPr="000E4BEA">
        <w:rPr>
          <w:rFonts w:ascii="Arial" w:hAnsi="Arial"/>
          <w:i/>
          <w:lang w:val="en-GB"/>
        </w:rPr>
        <w:t>The</w:t>
      </w:r>
      <w:proofErr w:type="gramEnd"/>
      <w:r w:rsidR="00E26F48" w:rsidRPr="000E4BEA">
        <w:rPr>
          <w:rFonts w:ascii="Arial" w:hAnsi="Arial"/>
          <w:i/>
          <w:lang w:val="en-GB"/>
        </w:rPr>
        <w:t xml:space="preserve"> complete </w:t>
      </w:r>
      <w:r w:rsidR="007F08F8" w:rsidRPr="000E4BEA">
        <w:rPr>
          <w:rFonts w:ascii="Arial" w:hAnsi="Arial"/>
          <w:i/>
          <w:lang w:val="en-GB"/>
        </w:rPr>
        <w:t>quarterly</w:t>
      </w:r>
      <w:r w:rsidR="00B8338C" w:rsidRPr="000E4BEA">
        <w:rPr>
          <w:rFonts w:ascii="Arial" w:hAnsi="Arial"/>
          <w:i/>
          <w:lang w:val="en-GB"/>
        </w:rPr>
        <w:t xml:space="preserve"> </w:t>
      </w:r>
      <w:r w:rsidR="00E26F48" w:rsidRPr="000E4BEA">
        <w:rPr>
          <w:rFonts w:ascii="Arial" w:hAnsi="Arial"/>
          <w:i/>
          <w:lang w:val="en-GB"/>
        </w:rPr>
        <w:t xml:space="preserve">report can be </w:t>
      </w:r>
      <w:r w:rsidR="00082230" w:rsidRPr="000E4BEA">
        <w:rPr>
          <w:rFonts w:ascii="Arial" w:hAnsi="Arial"/>
          <w:i/>
          <w:lang w:val="en-GB"/>
        </w:rPr>
        <w:t>foun</w:t>
      </w:r>
      <w:r w:rsidR="00E26F48" w:rsidRPr="000E4BEA">
        <w:rPr>
          <w:rFonts w:ascii="Arial" w:hAnsi="Arial"/>
          <w:i/>
          <w:lang w:val="en-GB"/>
        </w:rPr>
        <w:t>d</w:t>
      </w:r>
      <w:r w:rsidR="00082230" w:rsidRPr="000E4BEA">
        <w:rPr>
          <w:rFonts w:ascii="Arial" w:hAnsi="Arial"/>
          <w:i/>
          <w:lang w:val="en-GB"/>
        </w:rPr>
        <w:t xml:space="preserve"> at </w:t>
      </w:r>
      <w:hyperlink r:id="rId9" w:history="1">
        <w:r w:rsidR="006072F0" w:rsidRPr="000E4BEA">
          <w:rPr>
            <w:rStyle w:val="Hyperlink"/>
            <w:rFonts w:ascii="Arial" w:hAnsi="Arial"/>
            <w:i/>
            <w:lang w:val="en-GB"/>
          </w:rPr>
          <w:t>www.leoni.com/en/financial-publications</w:t>
        </w:r>
      </w:hyperlink>
    </w:p>
    <w:p w:rsidR="0098775F" w:rsidRPr="00C85271" w:rsidRDefault="0098775F">
      <w:pPr>
        <w:pStyle w:val="MMKurzprofilberschrift"/>
        <w:rPr>
          <w:rFonts w:cs="Times New Roman"/>
          <w:szCs w:val="24"/>
          <w:lang w:val="en-GB"/>
        </w:rPr>
      </w:pPr>
      <w:r w:rsidRPr="00C85271">
        <w:rPr>
          <w:rFonts w:cs="Times New Roman"/>
          <w:szCs w:val="24"/>
          <w:lang w:val="en-GB"/>
        </w:rPr>
        <w:t>About the Leoni Group</w:t>
      </w:r>
    </w:p>
    <w:p w:rsidR="004044A6" w:rsidRDefault="00AC5497" w:rsidP="004044A6">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sidR="008F37D5">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0209BC">
        <w:rPr>
          <w:lang w:val="en-GB"/>
        </w:rPr>
        <w:t>about</w:t>
      </w:r>
      <w:r w:rsidR="00725A31">
        <w:rPr>
          <w:lang w:val="en-GB"/>
        </w:rPr>
        <w:t xml:space="preserve"> </w:t>
      </w:r>
      <w:r w:rsidR="006072F0">
        <w:rPr>
          <w:lang w:val="en-GB"/>
        </w:rPr>
        <w:t>70</w:t>
      </w:r>
      <w:r w:rsidRPr="00C85271">
        <w:rPr>
          <w:lang w:val="en-GB"/>
        </w:rPr>
        <w:t>,000 people in 3</w:t>
      </w:r>
      <w:r w:rsidR="006072F0">
        <w:rPr>
          <w:lang w:val="en-GB"/>
        </w:rPr>
        <w:t>1</w:t>
      </w:r>
      <w:r w:rsidRPr="00C85271">
        <w:rPr>
          <w:lang w:val="en-GB"/>
        </w:rPr>
        <w:t xml:space="preserve"> countries and generated consoli</w:t>
      </w:r>
      <w:bookmarkStart w:id="0" w:name="_GoBack"/>
      <w:bookmarkEnd w:id="0"/>
      <w:r w:rsidRPr="00C85271">
        <w:rPr>
          <w:lang w:val="en-GB"/>
        </w:rPr>
        <w:t xml:space="preserve">dated sales of </w:t>
      </w:r>
      <w:r w:rsidRPr="00B572CD">
        <w:rPr>
          <w:lang w:val="en-US"/>
        </w:rPr>
        <w:t xml:space="preserve">EUR </w:t>
      </w:r>
      <w:r w:rsidR="006072F0">
        <w:rPr>
          <w:lang w:val="en-US"/>
        </w:rPr>
        <w:t>4.1</w:t>
      </w:r>
      <w:r w:rsidRPr="00B572CD">
        <w:rPr>
          <w:lang w:val="en-US"/>
        </w:rPr>
        <w:t xml:space="preserve"> billion in 201</w:t>
      </w:r>
      <w:r w:rsidR="006072F0">
        <w:rPr>
          <w:lang w:val="en-US"/>
        </w:rPr>
        <w:t>4</w:t>
      </w:r>
      <w:r w:rsidR="008F37D5">
        <w:rPr>
          <w:lang w:val="en-US"/>
        </w:rPr>
        <w:t>.</w:t>
      </w:r>
    </w:p>
    <w:p w:rsidR="004044A6" w:rsidRPr="006366F6" w:rsidRDefault="004044A6" w:rsidP="004044A6">
      <w:pPr>
        <w:pStyle w:val="MMKurzprofil"/>
        <w:rPr>
          <w:sz w:val="8"/>
          <w:szCs w:val="8"/>
          <w:lang w:val="en-GB"/>
        </w:rPr>
      </w:pPr>
    </w:p>
    <w:p w:rsidR="004044A6" w:rsidRPr="004044A6" w:rsidRDefault="000E4BEA" w:rsidP="004044A6">
      <w:pPr>
        <w:pStyle w:val="MMKurzprofil"/>
        <w:rPr>
          <w:lang w:val="en-US"/>
        </w:rPr>
      </w:pPr>
      <w:hyperlink r:id="rId10" w:tgtFrame="_blank" w:history="1">
        <w:r w:rsidR="00C01E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1" o:title="facebook"/>
            </v:shape>
          </w:pict>
        </w:r>
      </w:hyperlink>
      <w:r w:rsidR="004044A6" w:rsidRPr="004044A6">
        <w:rPr>
          <w:lang w:val="en-US"/>
        </w:rPr>
        <w:t xml:space="preserve"> </w:t>
      </w:r>
      <w:hyperlink r:id="rId12" w:tgtFrame="_blank" w:history="1">
        <w:r w:rsidR="00C01E31">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3" o:title="xing"/>
            </v:shape>
          </w:pict>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452CF6" w:rsidRPr="00C85271" w:rsidRDefault="00452CF6">
      <w:pPr>
        <w:pStyle w:val="MMKurzprofil"/>
        <w:rPr>
          <w:rFonts w:cs="Times New Roman"/>
          <w:szCs w:val="24"/>
          <w:lang w:val="en-GB"/>
        </w:rPr>
      </w:pPr>
      <w:r>
        <w:rPr>
          <w:rFonts w:cs="Times New Roman"/>
          <w:szCs w:val="24"/>
          <w:lang w:val="en-GB"/>
        </w:rPr>
        <w:t>LEONI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4" w:history="1">
        <w:r w:rsidRPr="00C85271">
          <w:rPr>
            <w:rStyle w:val="Hyperlink"/>
            <w:rFonts w:cs="Times New Roman"/>
            <w:szCs w:val="24"/>
            <w:lang w:val="en-GB"/>
          </w:rPr>
          <w:t>presse@leoni.com</w:t>
        </w:r>
      </w:hyperlink>
    </w:p>
    <w:sectPr w:rsidR="0098775F" w:rsidSect="002D2880">
      <w:headerReference w:type="default" r:id="rId15"/>
      <w:footerReference w:type="default" r:id="rId16"/>
      <w:headerReference w:type="first" r:id="rId17"/>
      <w:footerReference w:type="first" r:id="rId18"/>
      <w:pgSz w:w="11900" w:h="16840" w:code="9"/>
      <w:pgMar w:top="2977" w:right="833" w:bottom="1418"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D4" w:rsidRDefault="008203D4">
      <w:pPr>
        <w:rPr>
          <w:sz w:val="16"/>
        </w:rPr>
      </w:pPr>
      <w:r>
        <w:separator/>
      </w:r>
    </w:p>
  </w:endnote>
  <w:endnote w:type="continuationSeparator" w:id="0">
    <w:p w:rsidR="008203D4" w:rsidRDefault="008203D4">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Default="008203D4">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0E4BEA">
      <w:rPr>
        <w:rStyle w:val="Seitenzahl"/>
        <w:rFonts w:ascii="Arial" w:hAnsi="Arial"/>
        <w:i/>
        <w:noProof/>
        <w:sz w:val="16"/>
      </w:rPr>
      <w:t>4</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0E4BEA">
      <w:rPr>
        <w:rStyle w:val="Seitenzahl"/>
        <w:rFonts w:ascii="Arial" w:hAnsi="Arial"/>
        <w:i/>
        <w:noProof/>
        <w:sz w:val="16"/>
      </w:rPr>
      <w:t>4</w:t>
    </w:r>
    <w:r>
      <w:rPr>
        <w:rStyle w:val="Seitenzahl"/>
        <w:rFonts w:ascii="Arial" w:hAnsi="Arial"/>
        <w:i/>
        <w:noProof/>
        <w:sz w:val="16"/>
      </w:rPr>
      <w:fldChar w:fldCharType="end"/>
    </w:r>
    <w:r>
      <w:rPr>
        <w:rFonts w:ascii="Arial" w:hAnsi="Arial"/>
        <w:b/>
        <w:color w:val="004089"/>
        <w:sz w:val="12"/>
      </w:rPr>
      <w:tab/>
    </w:r>
  </w:p>
  <w:p w:rsidR="008203D4" w:rsidRDefault="008203D4">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Default="008203D4">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203D4" w:rsidRDefault="008203D4">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203D4" w:rsidRDefault="008203D4">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203D4" w:rsidRDefault="008203D4">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203D4" w:rsidRDefault="008203D4">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203D4" w:rsidRDefault="008203D4">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D4" w:rsidRDefault="008203D4">
      <w:pPr>
        <w:rPr>
          <w:sz w:val="16"/>
        </w:rPr>
      </w:pPr>
      <w:r>
        <w:separator/>
      </w:r>
    </w:p>
  </w:footnote>
  <w:footnote w:type="continuationSeparator" w:id="0">
    <w:p w:rsidR="008203D4" w:rsidRDefault="008203D4">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Pr="00F17738" w:rsidRDefault="008203D4" w:rsidP="00F65C50">
    <w:pPr>
      <w:pStyle w:val="Kopfzeile"/>
      <w:tabs>
        <w:tab w:val="clear" w:pos="9072"/>
        <w:tab w:val="right" w:pos="9639"/>
      </w:tabs>
      <w:spacing w:after="0" w:line="240" w:lineRule="auto"/>
      <w:rPr>
        <w:rFonts w:ascii="Verdana" w:hAnsi="Verdana"/>
        <w:sz w:val="20"/>
      </w:rPr>
    </w:pPr>
  </w:p>
  <w:p w:rsidR="008203D4" w:rsidRDefault="008203D4" w:rsidP="00F65C50">
    <w:pPr>
      <w:pStyle w:val="Kopfzeile"/>
      <w:tabs>
        <w:tab w:val="clear" w:pos="9072"/>
        <w:tab w:val="right" w:pos="9639"/>
      </w:tabs>
      <w:spacing w:after="0" w:line="240" w:lineRule="auto"/>
      <w:rPr>
        <w:rFonts w:ascii="Verdana" w:hAnsi="Verdana"/>
        <w:sz w:val="20"/>
      </w:rPr>
    </w:pPr>
  </w:p>
  <w:p w:rsidR="008203D4" w:rsidRPr="00F17738" w:rsidRDefault="000E4BEA"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8203D4" w:rsidRDefault="008203D4" w:rsidP="00F65C50">
    <w:pPr>
      <w:spacing w:before="60" w:after="0" w:line="360" w:lineRule="auto"/>
      <w:ind w:right="1429"/>
      <w:rPr>
        <w:rFonts w:ascii="Arial" w:hAnsi="Arial" w:cs="Arial"/>
        <w:b/>
        <w:sz w:val="20"/>
        <w:szCs w:val="20"/>
      </w:rPr>
    </w:pPr>
  </w:p>
  <w:p w:rsidR="008203D4" w:rsidRDefault="006072F0" w:rsidP="00F65C50">
    <w:pPr>
      <w:spacing w:after="0" w:line="360" w:lineRule="auto"/>
      <w:ind w:right="1429"/>
      <w:rPr>
        <w:rFonts w:ascii="Arial" w:hAnsi="Arial" w:cs="Arial"/>
        <w:b/>
        <w:sz w:val="20"/>
        <w:szCs w:val="20"/>
      </w:rPr>
    </w:pPr>
    <w:r>
      <w:rPr>
        <w:rFonts w:ascii="Arial" w:hAnsi="Arial" w:cs="Arial"/>
        <w:b/>
        <w:sz w:val="20"/>
        <w:szCs w:val="20"/>
      </w:rPr>
      <w:t>PRESS</w:t>
    </w:r>
    <w:r w:rsidR="008203D4">
      <w:rPr>
        <w:rFonts w:ascii="Arial" w:hAnsi="Arial" w:cs="Arial"/>
        <w:b/>
        <w:sz w:val="20"/>
        <w:szCs w:val="20"/>
      </w:rPr>
      <w:t xml:space="preserve"> RELEASE</w:t>
    </w:r>
  </w:p>
  <w:p w:rsidR="008203D4" w:rsidRDefault="008203D4">
    <w:pPr>
      <w:pStyle w:val="Kopfzeile"/>
      <w:tabs>
        <w:tab w:val="clear" w:pos="9072"/>
        <w:tab w:val="right" w:pos="9639"/>
      </w:tabs>
      <w:rPr>
        <w:rFonts w:ascii="Verdana" w:hAnsi="Verdana"/>
        <w:sz w:val="20"/>
      </w:rPr>
    </w:pPr>
  </w:p>
  <w:p w:rsidR="008203D4" w:rsidRDefault="008203D4">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0E4BEA">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2936"/>
    <w:rsid w:val="000079E4"/>
    <w:rsid w:val="00013A64"/>
    <w:rsid w:val="000209BC"/>
    <w:rsid w:val="0002408F"/>
    <w:rsid w:val="000255DA"/>
    <w:rsid w:val="00033C4D"/>
    <w:rsid w:val="00041290"/>
    <w:rsid w:val="0004329A"/>
    <w:rsid w:val="000453F9"/>
    <w:rsid w:val="00082230"/>
    <w:rsid w:val="000A0822"/>
    <w:rsid w:val="000A32BC"/>
    <w:rsid w:val="000A7B89"/>
    <w:rsid w:val="000B3BF8"/>
    <w:rsid w:val="000B5865"/>
    <w:rsid w:val="000C02B1"/>
    <w:rsid w:val="000D0C90"/>
    <w:rsid w:val="000E4BEA"/>
    <w:rsid w:val="000E6946"/>
    <w:rsid w:val="000F1C62"/>
    <w:rsid w:val="000F2DC6"/>
    <w:rsid w:val="000F65EE"/>
    <w:rsid w:val="000F73A0"/>
    <w:rsid w:val="00102158"/>
    <w:rsid w:val="00110484"/>
    <w:rsid w:val="00123771"/>
    <w:rsid w:val="00123B76"/>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207FC6"/>
    <w:rsid w:val="00211D05"/>
    <w:rsid w:val="0023301E"/>
    <w:rsid w:val="00240866"/>
    <w:rsid w:val="00245C9E"/>
    <w:rsid w:val="00247B9B"/>
    <w:rsid w:val="00260A78"/>
    <w:rsid w:val="002630D8"/>
    <w:rsid w:val="002639C8"/>
    <w:rsid w:val="00264325"/>
    <w:rsid w:val="002956A9"/>
    <w:rsid w:val="0029603C"/>
    <w:rsid w:val="002B7AC7"/>
    <w:rsid w:val="002B7BFA"/>
    <w:rsid w:val="002C118D"/>
    <w:rsid w:val="002D2880"/>
    <w:rsid w:val="002E1F50"/>
    <w:rsid w:val="003118F1"/>
    <w:rsid w:val="00361CF2"/>
    <w:rsid w:val="00362050"/>
    <w:rsid w:val="00364DCD"/>
    <w:rsid w:val="00382198"/>
    <w:rsid w:val="00397AC4"/>
    <w:rsid w:val="003A240E"/>
    <w:rsid w:val="003B0FC5"/>
    <w:rsid w:val="003C6AAE"/>
    <w:rsid w:val="003D2799"/>
    <w:rsid w:val="003E43B4"/>
    <w:rsid w:val="003E4B96"/>
    <w:rsid w:val="003E6B83"/>
    <w:rsid w:val="00404468"/>
    <w:rsid w:val="004044A6"/>
    <w:rsid w:val="004121DA"/>
    <w:rsid w:val="00424182"/>
    <w:rsid w:val="00432245"/>
    <w:rsid w:val="00441963"/>
    <w:rsid w:val="00452CF6"/>
    <w:rsid w:val="004547BF"/>
    <w:rsid w:val="00473340"/>
    <w:rsid w:val="00473E7D"/>
    <w:rsid w:val="004746ED"/>
    <w:rsid w:val="004822A8"/>
    <w:rsid w:val="004826F0"/>
    <w:rsid w:val="00492E67"/>
    <w:rsid w:val="004A0D77"/>
    <w:rsid w:val="004A1653"/>
    <w:rsid w:val="004A457B"/>
    <w:rsid w:val="004B0623"/>
    <w:rsid w:val="004B3DB8"/>
    <w:rsid w:val="004B4CC2"/>
    <w:rsid w:val="004C11CE"/>
    <w:rsid w:val="004D2FCB"/>
    <w:rsid w:val="004D41E6"/>
    <w:rsid w:val="004E29FC"/>
    <w:rsid w:val="004F038C"/>
    <w:rsid w:val="004F2266"/>
    <w:rsid w:val="004F7079"/>
    <w:rsid w:val="00500004"/>
    <w:rsid w:val="00500B29"/>
    <w:rsid w:val="005072AE"/>
    <w:rsid w:val="005147CE"/>
    <w:rsid w:val="00526F46"/>
    <w:rsid w:val="00533F65"/>
    <w:rsid w:val="00535C46"/>
    <w:rsid w:val="00543C34"/>
    <w:rsid w:val="005448AB"/>
    <w:rsid w:val="005A6BB8"/>
    <w:rsid w:val="005C5351"/>
    <w:rsid w:val="005D4C87"/>
    <w:rsid w:val="005D4FF6"/>
    <w:rsid w:val="005D550E"/>
    <w:rsid w:val="005F7D29"/>
    <w:rsid w:val="00600E53"/>
    <w:rsid w:val="00602FD7"/>
    <w:rsid w:val="006072F0"/>
    <w:rsid w:val="00607852"/>
    <w:rsid w:val="00614A49"/>
    <w:rsid w:val="0061798D"/>
    <w:rsid w:val="00631FB1"/>
    <w:rsid w:val="006366F6"/>
    <w:rsid w:val="006457CF"/>
    <w:rsid w:val="00654989"/>
    <w:rsid w:val="00663C2A"/>
    <w:rsid w:val="00683EF3"/>
    <w:rsid w:val="006A76CA"/>
    <w:rsid w:val="006C5546"/>
    <w:rsid w:val="006C5962"/>
    <w:rsid w:val="006D36F9"/>
    <w:rsid w:val="006E0029"/>
    <w:rsid w:val="006E7A1F"/>
    <w:rsid w:val="006F435B"/>
    <w:rsid w:val="006F4393"/>
    <w:rsid w:val="006F78FE"/>
    <w:rsid w:val="007043BB"/>
    <w:rsid w:val="00720539"/>
    <w:rsid w:val="00721853"/>
    <w:rsid w:val="00725A31"/>
    <w:rsid w:val="007420F8"/>
    <w:rsid w:val="00746CA7"/>
    <w:rsid w:val="00755EBD"/>
    <w:rsid w:val="00765E37"/>
    <w:rsid w:val="00773EC7"/>
    <w:rsid w:val="007747B6"/>
    <w:rsid w:val="00783A5E"/>
    <w:rsid w:val="007864F1"/>
    <w:rsid w:val="007A52EB"/>
    <w:rsid w:val="007C3759"/>
    <w:rsid w:val="007D7D60"/>
    <w:rsid w:val="007F08F8"/>
    <w:rsid w:val="007F3212"/>
    <w:rsid w:val="007F68CF"/>
    <w:rsid w:val="00803041"/>
    <w:rsid w:val="008045E1"/>
    <w:rsid w:val="008203D4"/>
    <w:rsid w:val="00821BA4"/>
    <w:rsid w:val="00827B83"/>
    <w:rsid w:val="0083522C"/>
    <w:rsid w:val="008446CD"/>
    <w:rsid w:val="008920B0"/>
    <w:rsid w:val="008950C7"/>
    <w:rsid w:val="008A0985"/>
    <w:rsid w:val="008A1C0B"/>
    <w:rsid w:val="008A3A81"/>
    <w:rsid w:val="008B6597"/>
    <w:rsid w:val="008D26BA"/>
    <w:rsid w:val="008D4891"/>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E06E1"/>
    <w:rsid w:val="009F6805"/>
    <w:rsid w:val="009F752B"/>
    <w:rsid w:val="00A12538"/>
    <w:rsid w:val="00A23768"/>
    <w:rsid w:val="00A27173"/>
    <w:rsid w:val="00A34AA7"/>
    <w:rsid w:val="00A435CF"/>
    <w:rsid w:val="00A54DDA"/>
    <w:rsid w:val="00A6060D"/>
    <w:rsid w:val="00A66992"/>
    <w:rsid w:val="00A708D7"/>
    <w:rsid w:val="00A7468A"/>
    <w:rsid w:val="00A76415"/>
    <w:rsid w:val="00AA16D7"/>
    <w:rsid w:val="00AA2526"/>
    <w:rsid w:val="00AA2A8D"/>
    <w:rsid w:val="00AB4893"/>
    <w:rsid w:val="00AC2AE0"/>
    <w:rsid w:val="00AC5497"/>
    <w:rsid w:val="00AC7A23"/>
    <w:rsid w:val="00AD3E26"/>
    <w:rsid w:val="00AD4A54"/>
    <w:rsid w:val="00AE31C1"/>
    <w:rsid w:val="00AE43B7"/>
    <w:rsid w:val="00AF0A61"/>
    <w:rsid w:val="00B1340F"/>
    <w:rsid w:val="00B139E4"/>
    <w:rsid w:val="00B24E61"/>
    <w:rsid w:val="00B260C6"/>
    <w:rsid w:val="00B2763A"/>
    <w:rsid w:val="00B3540F"/>
    <w:rsid w:val="00B3611C"/>
    <w:rsid w:val="00B43D1D"/>
    <w:rsid w:val="00B44D5B"/>
    <w:rsid w:val="00B45E40"/>
    <w:rsid w:val="00B466F2"/>
    <w:rsid w:val="00B572CD"/>
    <w:rsid w:val="00B572D2"/>
    <w:rsid w:val="00B67561"/>
    <w:rsid w:val="00B70B1A"/>
    <w:rsid w:val="00B71C6F"/>
    <w:rsid w:val="00B8338C"/>
    <w:rsid w:val="00B86027"/>
    <w:rsid w:val="00B96DE2"/>
    <w:rsid w:val="00BA0052"/>
    <w:rsid w:val="00BB1A73"/>
    <w:rsid w:val="00BB4148"/>
    <w:rsid w:val="00BB69CA"/>
    <w:rsid w:val="00BC37D4"/>
    <w:rsid w:val="00BC5FE7"/>
    <w:rsid w:val="00BD135F"/>
    <w:rsid w:val="00BD22AC"/>
    <w:rsid w:val="00BD2643"/>
    <w:rsid w:val="00BD26C1"/>
    <w:rsid w:val="00BD4058"/>
    <w:rsid w:val="00BD6804"/>
    <w:rsid w:val="00BF5681"/>
    <w:rsid w:val="00BF7DEC"/>
    <w:rsid w:val="00C01E31"/>
    <w:rsid w:val="00C03D20"/>
    <w:rsid w:val="00C07BB6"/>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513"/>
    <w:rsid w:val="00D738A7"/>
    <w:rsid w:val="00D74838"/>
    <w:rsid w:val="00D80DBE"/>
    <w:rsid w:val="00D903E2"/>
    <w:rsid w:val="00D90D76"/>
    <w:rsid w:val="00D92309"/>
    <w:rsid w:val="00DA49A1"/>
    <w:rsid w:val="00DB2E93"/>
    <w:rsid w:val="00DB7DCF"/>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93051"/>
    <w:rsid w:val="00E95E47"/>
    <w:rsid w:val="00EA6563"/>
    <w:rsid w:val="00EB09C0"/>
    <w:rsid w:val="00EB5A8C"/>
    <w:rsid w:val="00EB717D"/>
    <w:rsid w:val="00EC0A0C"/>
    <w:rsid w:val="00EC0E74"/>
    <w:rsid w:val="00EC6520"/>
    <w:rsid w:val="00ED1040"/>
    <w:rsid w:val="00ED47BD"/>
    <w:rsid w:val="00EE3329"/>
    <w:rsid w:val="00EE7541"/>
    <w:rsid w:val="00EF2DA5"/>
    <w:rsid w:val="00F21EA0"/>
    <w:rsid w:val="00F230E1"/>
    <w:rsid w:val="00F37865"/>
    <w:rsid w:val="00F55CB1"/>
    <w:rsid w:val="00F65C50"/>
    <w:rsid w:val="00F67138"/>
    <w:rsid w:val="00F737A1"/>
    <w:rsid w:val="00F73C92"/>
    <w:rsid w:val="00F77219"/>
    <w:rsid w:val="00F80249"/>
    <w:rsid w:val="00F851F7"/>
    <w:rsid w:val="00F90257"/>
    <w:rsid w:val="00F91FB0"/>
    <w:rsid w:val="00F955C9"/>
    <w:rsid w:val="00FA0E12"/>
    <w:rsid w:val="00FA5C95"/>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uiPriority w:val="99"/>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autoRedefine/>
    <w:uiPriority w:val="99"/>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uiPriority w:val="99"/>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uiPriority w:val="99"/>
    <w:qFormat/>
    <w:rsid w:val="00B260C6"/>
    <w:pPr>
      <w:tabs>
        <w:tab w:val="left" w:pos="8505"/>
      </w:tabs>
      <w:spacing w:after="0" w:line="360" w:lineRule="auto"/>
      <w:ind w:right="1922"/>
    </w:pPr>
    <w:rPr>
      <w:rFonts w:ascii="Arial" w:hAnsi="Arial"/>
      <w:b/>
      <w:spacing w:val="-4"/>
      <w:szCs w:val="24"/>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with-a-new-sales-high-in-the-first-quarter-of-2015/"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oni.com/en/financial-publications"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6731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Media Relations Press Release</vt:lpstr>
    </vt:vector>
  </TitlesOfParts>
  <Manager>Sven Schmidt</Manager>
  <Company>LEONI</Company>
  <LinksUpToDate>false</LinksUpToDate>
  <CharactersWithSpaces>7784</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Press Release</dc:title>
  <dc:creator>Corporate Communications</dc:creator>
  <cp:lastModifiedBy>Schmidt, Sven</cp:lastModifiedBy>
  <cp:revision>4</cp:revision>
  <cp:lastPrinted>2014-05-12T07:15:00Z</cp:lastPrinted>
  <dcterms:created xsi:type="dcterms:W3CDTF">2015-05-11T09:28:00Z</dcterms:created>
  <dcterms:modified xsi:type="dcterms:W3CDTF">2015-05-11T10:16:00Z</dcterms:modified>
</cp:coreProperties>
</file>