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3C" w:rsidRPr="00D6203C" w:rsidRDefault="00D6203C" w:rsidP="00D6203C">
      <w:pPr>
        <w:pStyle w:val="MMU1"/>
        <w:rPr>
          <w:bCs w:val="0"/>
          <w:szCs w:val="24"/>
          <w:lang w:val="en-US"/>
        </w:rPr>
      </w:pPr>
      <w:bookmarkStart w:id="0" w:name="_GoBack"/>
      <w:bookmarkEnd w:id="0"/>
      <w:r>
        <w:rPr>
          <w:bCs w:val="0"/>
          <w:szCs w:val="24"/>
          <w:lang w:val="en-GB"/>
        </w:rPr>
        <w:t>Leoni’s sales and earnings up in the second quarter of 2015</w:t>
      </w:r>
    </w:p>
    <w:p w:rsidR="00D6203C" w:rsidRPr="00D6203C" w:rsidRDefault="00D6203C" w:rsidP="00D6203C">
      <w:pPr>
        <w:pStyle w:val="MMU2"/>
        <w:rPr>
          <w:rFonts w:cs="Times New Roman"/>
          <w:lang w:val="en-US"/>
        </w:rPr>
      </w:pPr>
      <w:r>
        <w:rPr>
          <w:rFonts w:cs="Times New Roman"/>
          <w:lang w:val="en-GB"/>
        </w:rPr>
        <w:t>Full-year performance on course</w:t>
      </w:r>
    </w:p>
    <w:p w:rsidR="00D6203C" w:rsidRPr="00D6203C" w:rsidRDefault="00D6203C" w:rsidP="00D6203C">
      <w:pPr>
        <w:pStyle w:val="MMVorspann"/>
        <w:rPr>
          <w:rFonts w:cs="Times New Roman"/>
          <w:bCs w:val="0"/>
          <w:szCs w:val="24"/>
          <w:lang w:val="en-US"/>
        </w:rPr>
      </w:pPr>
      <w:r>
        <w:rPr>
          <w:rFonts w:cs="Times New Roman"/>
          <w:bCs w:val="0"/>
          <w:szCs w:val="24"/>
          <w:lang w:val="en-GB"/>
        </w:rPr>
        <w:t>Nuremberg, 11 August 2015 – Group-wide, Leoni generated a year-on-year sales increase of over 13 percent to EUR 1,155.7 million in the second quarter of 2015 (previous year: EUR 1,019.4 million).</w:t>
      </w:r>
      <w:r w:rsidRPr="00D6203C">
        <w:rPr>
          <w:rFonts w:cs="Times New Roman"/>
          <w:bCs w:val="0"/>
          <w:szCs w:val="24"/>
          <w:lang w:val="en-US"/>
        </w:rPr>
        <w:t xml:space="preserve"> </w:t>
      </w:r>
      <w:r>
        <w:rPr>
          <w:rFonts w:cs="Times New Roman"/>
          <w:bCs w:val="0"/>
          <w:szCs w:val="24"/>
          <w:lang w:val="en-GB"/>
        </w:rPr>
        <w:t>In the first half of the year as a whole, the amount of business was up by 11 percent to EUR 2,264.5 million (previous year: EUR 2,039.6 million), with the Company generating growth worldwide.</w:t>
      </w:r>
      <w:r w:rsidRPr="00D6203C">
        <w:rPr>
          <w:rFonts w:cs="Times New Roman"/>
          <w:bCs w:val="0"/>
          <w:szCs w:val="24"/>
          <w:lang w:val="en-US"/>
        </w:rPr>
        <w:t xml:space="preserve"> </w:t>
      </w:r>
      <w:r>
        <w:rPr>
          <w:rFonts w:cs="Times New Roman"/>
          <w:bCs w:val="0"/>
          <w:szCs w:val="24"/>
          <w:lang w:val="en-GB"/>
        </w:rPr>
        <w:t>Adjusted for exchange rates, the leading European provider of cables and cable systems to the automotive sector and other industries grew by 5 percent year on year in the first six months.</w:t>
      </w:r>
      <w:r w:rsidRPr="00D6203C">
        <w:rPr>
          <w:rFonts w:cs="Times New Roman"/>
          <w:bCs w:val="0"/>
          <w:szCs w:val="24"/>
          <w:lang w:val="en-US"/>
        </w:rPr>
        <w:t xml:space="preserve"> </w:t>
      </w:r>
    </w:p>
    <w:p w:rsidR="00D6203C" w:rsidRPr="00D6203C" w:rsidRDefault="00D6203C" w:rsidP="00D6203C">
      <w:pPr>
        <w:pStyle w:val="MMFlietext"/>
        <w:rPr>
          <w:rFonts w:cs="Times New Roman"/>
          <w:szCs w:val="24"/>
          <w:lang w:val="en-US"/>
        </w:rPr>
      </w:pPr>
      <w:r>
        <w:rPr>
          <w:rFonts w:cs="Times New Roman"/>
          <w:szCs w:val="24"/>
          <w:lang w:val="en-GB"/>
        </w:rPr>
        <w:t>The Group's earnings before interest and taxes (EBIT) rose by more than 6 percent to EUR 50.4 million in the second quarter of 2015 (previous year: EUR 47.3 million).</w:t>
      </w:r>
      <w:r w:rsidRPr="00D6203C">
        <w:rPr>
          <w:rFonts w:cs="Times New Roman"/>
          <w:szCs w:val="24"/>
          <w:lang w:val="en-US"/>
        </w:rPr>
        <w:t xml:space="preserve"> </w:t>
      </w:r>
      <w:r>
        <w:rPr>
          <w:rFonts w:cs="Times New Roman"/>
          <w:szCs w:val="24"/>
          <w:lang w:val="en-GB"/>
        </w:rPr>
        <w:t>The EBIT of EUR 85.5 million for the first six months was, because of the weaker first quarter, still about 13 percent below the figure for the same period in 2014 (EUR 97.9 million).</w:t>
      </w:r>
      <w:r w:rsidRPr="00D6203C">
        <w:rPr>
          <w:rFonts w:cs="Times New Roman"/>
          <w:szCs w:val="24"/>
          <w:lang w:val="en-US"/>
        </w:rPr>
        <w:t xml:space="preserve"> </w:t>
      </w:r>
      <w:r>
        <w:rPr>
          <w:rFonts w:cs="Times New Roman"/>
          <w:szCs w:val="24"/>
          <w:lang w:val="en-GB"/>
        </w:rPr>
        <w:t>After taxes, the Company recorded consolidated net income of EUR 51.8 million for the period from January to June 2015 (previous year: EUR 61.4 million).</w:t>
      </w:r>
      <w:r w:rsidRPr="00D6203C">
        <w:rPr>
          <w:rFonts w:cs="Times New Roman"/>
          <w:szCs w:val="24"/>
          <w:lang w:val="en-US"/>
        </w:rPr>
        <w:t xml:space="preserve"> </w:t>
      </w:r>
    </w:p>
    <w:p w:rsidR="00D6203C" w:rsidRPr="00D6203C" w:rsidRDefault="00D6203C" w:rsidP="00D6203C">
      <w:pPr>
        <w:pStyle w:val="MMZwischenberschrift"/>
        <w:rPr>
          <w:rFonts w:cs="Times New Roman"/>
          <w:szCs w:val="24"/>
          <w:lang w:val="en-US"/>
        </w:rPr>
      </w:pPr>
      <w:r>
        <w:rPr>
          <w:rFonts w:cs="Times New Roman"/>
          <w:szCs w:val="24"/>
          <w:lang w:val="en-GB"/>
        </w:rPr>
        <w:t>Wiring Systems Division:</w:t>
      </w:r>
      <w:r w:rsidRPr="00D6203C">
        <w:rPr>
          <w:rFonts w:cs="Times New Roman"/>
          <w:szCs w:val="24"/>
          <w:lang w:val="en-US"/>
        </w:rPr>
        <w:t xml:space="preserve"> </w:t>
      </w:r>
      <w:r>
        <w:rPr>
          <w:rFonts w:cs="Times New Roman"/>
          <w:szCs w:val="24"/>
          <w:lang w:val="en-GB"/>
        </w:rPr>
        <w:t>strong earnings increase in the second quarter</w:t>
      </w:r>
    </w:p>
    <w:p w:rsidR="00D6203C" w:rsidRPr="00D6203C" w:rsidRDefault="00D6203C" w:rsidP="00D6203C">
      <w:pPr>
        <w:pStyle w:val="MMFlietext"/>
        <w:rPr>
          <w:rFonts w:cs="Times New Roman"/>
          <w:szCs w:val="24"/>
          <w:lang w:val="en-US"/>
        </w:rPr>
      </w:pPr>
      <w:r>
        <w:rPr>
          <w:rFonts w:cs="Times New Roman"/>
          <w:szCs w:val="24"/>
          <w:lang w:val="en-GB"/>
        </w:rPr>
        <w:t>The external sales of the Wiring Systems Division (WSD) rose by about 14 percent to EUR 683.8 million in the period from April to June 2015 (previous year: EUR 597.8 million), and in the first six months they were up by nearly 12 percent to EUR 1,337.7 million (previous year: EUR 1,195.5 million).</w:t>
      </w:r>
      <w:r w:rsidRPr="00D6203C">
        <w:rPr>
          <w:rFonts w:cs="Times New Roman"/>
          <w:szCs w:val="24"/>
          <w:lang w:val="en-US"/>
        </w:rPr>
        <w:t xml:space="preserve"> </w:t>
      </w:r>
      <w:r>
        <w:rPr>
          <w:rFonts w:cs="Times New Roman"/>
          <w:szCs w:val="24"/>
          <w:lang w:val="en-GB"/>
        </w:rPr>
        <w:t>There was growth particularly in business involving wiring systems and cable harnesses for the export-heavyweight German carmakers, but the trend in business with foreign customers was also favourable.</w:t>
      </w:r>
      <w:r w:rsidRPr="00D6203C">
        <w:rPr>
          <w:rFonts w:cs="Times New Roman"/>
          <w:szCs w:val="24"/>
          <w:lang w:val="en-US"/>
        </w:rPr>
        <w:t xml:space="preserve"> </w:t>
      </w:r>
    </w:p>
    <w:p w:rsidR="00D6203C" w:rsidRPr="00D6203C" w:rsidRDefault="00D6203C" w:rsidP="00D6203C">
      <w:pPr>
        <w:pStyle w:val="MMFlietext"/>
        <w:rPr>
          <w:rFonts w:cs="Times New Roman"/>
          <w:szCs w:val="24"/>
          <w:lang w:val="en-US"/>
        </w:rPr>
      </w:pPr>
      <w:r>
        <w:rPr>
          <w:rFonts w:cs="Times New Roman"/>
          <w:szCs w:val="24"/>
          <w:lang w:val="en-GB"/>
        </w:rPr>
        <w:t>The numerous new projects launched this year already contributed considerably to the increase in sales and, as expected, gradually exerted a positive effect on earnings.</w:t>
      </w:r>
      <w:r w:rsidRPr="00D6203C">
        <w:rPr>
          <w:rFonts w:cs="Times New Roman"/>
          <w:szCs w:val="24"/>
          <w:lang w:val="en-US"/>
        </w:rPr>
        <w:t xml:space="preserve"> </w:t>
      </w:r>
      <w:r>
        <w:rPr>
          <w:rFonts w:cs="Times New Roman"/>
          <w:szCs w:val="24"/>
          <w:lang w:val="en-GB"/>
        </w:rPr>
        <w:t xml:space="preserve">The Wiring Systems Division’s EBIT thus improved in line with projections in the second quarter of 2015; i.e. by about one third to </w:t>
      </w:r>
      <w:r>
        <w:rPr>
          <w:rFonts w:cs="Times New Roman"/>
          <w:szCs w:val="24"/>
          <w:lang w:val="en-GB"/>
        </w:rPr>
        <w:lastRenderedPageBreak/>
        <w:t>EUR 35.0 million (previous year: EUR 26.3 million).</w:t>
      </w:r>
      <w:r w:rsidRPr="00D6203C">
        <w:rPr>
          <w:rFonts w:cs="Times New Roman"/>
          <w:szCs w:val="24"/>
          <w:lang w:val="en-US"/>
        </w:rPr>
        <w:t xml:space="preserve"> </w:t>
      </w:r>
      <w:r>
        <w:rPr>
          <w:rFonts w:cs="Times New Roman"/>
          <w:szCs w:val="24"/>
          <w:lang w:val="en-GB"/>
        </w:rPr>
        <w:t>For the whole of the first half, the division’s EBIT of EUR 52.8 million was still 9 percent short of the previous year’s EUR 58.0 million; this reflects the significantly higher pre-production and start-up costs incurred for new projects early in the year.</w:t>
      </w:r>
      <w:r w:rsidRPr="00D6203C">
        <w:rPr>
          <w:rFonts w:cs="Times New Roman"/>
          <w:szCs w:val="24"/>
          <w:lang w:val="en-US"/>
        </w:rPr>
        <w:t xml:space="preserve"> </w:t>
      </w:r>
    </w:p>
    <w:p w:rsidR="00D6203C" w:rsidRPr="00D6203C" w:rsidRDefault="00D6203C" w:rsidP="00D6203C">
      <w:pPr>
        <w:pStyle w:val="MMZwischenberschrift"/>
        <w:rPr>
          <w:rFonts w:cs="Times New Roman"/>
          <w:szCs w:val="24"/>
          <w:lang w:val="en-US"/>
        </w:rPr>
      </w:pPr>
      <w:r>
        <w:rPr>
          <w:rFonts w:cs="Times New Roman"/>
          <w:szCs w:val="24"/>
          <w:lang w:val="en-GB"/>
        </w:rPr>
        <w:t>Wire &amp; Cable Solutions:</w:t>
      </w:r>
      <w:r w:rsidRPr="00D6203C">
        <w:rPr>
          <w:rFonts w:cs="Times New Roman"/>
          <w:szCs w:val="24"/>
          <w:lang w:val="en-US"/>
        </w:rPr>
        <w:t xml:space="preserve"> </w:t>
      </w:r>
      <w:r>
        <w:rPr>
          <w:rFonts w:cs="Times New Roman"/>
          <w:szCs w:val="24"/>
          <w:lang w:val="en-GB"/>
        </w:rPr>
        <w:t>sales up, but earnings down</w:t>
      </w:r>
    </w:p>
    <w:p w:rsidR="00D6203C" w:rsidRPr="00D6203C" w:rsidRDefault="00D6203C" w:rsidP="00D6203C">
      <w:pPr>
        <w:pStyle w:val="MMFlietext"/>
        <w:rPr>
          <w:rFonts w:cs="Times New Roman"/>
          <w:szCs w:val="24"/>
          <w:lang w:val="en-US"/>
        </w:rPr>
      </w:pPr>
      <w:r>
        <w:rPr>
          <w:rFonts w:cs="Times New Roman"/>
          <w:szCs w:val="24"/>
          <w:lang w:val="en-GB"/>
        </w:rPr>
        <w:t>The external sales of the Wire &amp; Cable Solutions Division (WCS) increased by 12 percent to EUR 471.9 million from April to June 2015 (previous year: EUR 421.6 million) and by about 10 percent to EUR 926.8 million in the first half (previous year: EUR 844.2 million).</w:t>
      </w:r>
      <w:r w:rsidRPr="00D6203C">
        <w:rPr>
          <w:rFonts w:cs="Times New Roman"/>
          <w:szCs w:val="24"/>
          <w:lang w:val="en-US"/>
        </w:rPr>
        <w:t xml:space="preserve"> </w:t>
      </w:r>
      <w:r>
        <w:rPr>
          <w:rFonts w:cs="Times New Roman"/>
          <w:szCs w:val="24"/>
          <w:lang w:val="en-GB"/>
        </w:rPr>
        <w:t>The solid demand for automotive cables as well as cables and cable systems for robotics and the medical technology industry was offset by weak business involving data cables as well as cables for infrastructure projects and the petrochemical industry.</w:t>
      </w:r>
      <w:r w:rsidRPr="00D6203C">
        <w:rPr>
          <w:rFonts w:cs="Times New Roman"/>
          <w:szCs w:val="24"/>
          <w:lang w:val="en-US"/>
        </w:rPr>
        <w:t xml:space="preserve"> </w:t>
      </w:r>
    </w:p>
    <w:p w:rsidR="00D6203C" w:rsidRPr="00D6203C" w:rsidRDefault="00D6203C" w:rsidP="00D6203C">
      <w:pPr>
        <w:pStyle w:val="MMFlietext"/>
        <w:rPr>
          <w:rFonts w:cs="Times New Roman"/>
          <w:szCs w:val="24"/>
          <w:lang w:val="en-US"/>
        </w:rPr>
      </w:pPr>
      <w:r>
        <w:rPr>
          <w:rFonts w:cs="Times New Roman"/>
          <w:szCs w:val="24"/>
          <w:lang w:val="en-GB"/>
        </w:rPr>
        <w:t>The low degree of capacity utilisation in the latter segments and an unfavourable product mix in the automotive cables business, which was marked by a high proportion of less profitable standard cables, weighed on the earnings of the WCS Division. In addition, the division incurred non-recurring expenses for, among other things, preparatory work on and starting up new plants as well as the ‘WCS ON Excellence’ performance programme.</w:t>
      </w:r>
      <w:r w:rsidRPr="00D6203C">
        <w:rPr>
          <w:rFonts w:cs="Times New Roman"/>
          <w:szCs w:val="24"/>
          <w:lang w:val="en-US"/>
        </w:rPr>
        <w:t xml:space="preserve"> </w:t>
      </w:r>
      <w:r>
        <w:rPr>
          <w:rFonts w:cs="Times New Roman"/>
          <w:szCs w:val="24"/>
          <w:lang w:val="en-GB"/>
        </w:rPr>
        <w:t>The division’s EBIT dipped to EUR 15.5 million in the second quarter of 2015 (previous year: EUR 21.1 million) and to EUR 32.5 million in the first six months (previous year: EUR 39.9 million).</w:t>
      </w:r>
      <w:r w:rsidRPr="00D6203C">
        <w:rPr>
          <w:rFonts w:cs="Times New Roman"/>
          <w:szCs w:val="24"/>
          <w:lang w:val="en-US"/>
        </w:rPr>
        <w:t xml:space="preserve"> </w:t>
      </w:r>
    </w:p>
    <w:p w:rsidR="00D6203C" w:rsidRPr="00D6203C" w:rsidRDefault="00D6203C" w:rsidP="00D6203C">
      <w:pPr>
        <w:pStyle w:val="MMZwischenberschrift"/>
        <w:rPr>
          <w:rFonts w:cs="Times New Roman"/>
          <w:szCs w:val="24"/>
          <w:lang w:val="en-US"/>
        </w:rPr>
      </w:pPr>
      <w:r>
        <w:rPr>
          <w:rFonts w:cs="Times New Roman"/>
          <w:szCs w:val="24"/>
          <w:lang w:val="en-GB"/>
        </w:rPr>
        <w:t>The number of employees up to almost 72,000</w:t>
      </w:r>
    </w:p>
    <w:p w:rsidR="00D6203C" w:rsidRPr="00D6203C" w:rsidRDefault="00D6203C" w:rsidP="00D6203C">
      <w:pPr>
        <w:pStyle w:val="MMFlietext"/>
        <w:rPr>
          <w:rFonts w:cs="Times New Roman"/>
          <w:szCs w:val="24"/>
          <w:lang w:val="en-US"/>
        </w:rPr>
      </w:pPr>
      <w:r>
        <w:rPr>
          <w:rFonts w:cs="Times New Roman"/>
          <w:szCs w:val="24"/>
          <w:lang w:val="en-GB"/>
        </w:rPr>
        <w:t>On 30 June 2015, Leoni employed 71,987 people worldwide, which was 3,999 more than at the turn of the year (31 December 2014: 67,988) and 6,416 more than one year earlier (30 June 2014: 65,571).</w:t>
      </w:r>
      <w:r w:rsidRPr="00D6203C">
        <w:rPr>
          <w:rFonts w:cs="Times New Roman"/>
          <w:szCs w:val="24"/>
          <w:lang w:val="en-US"/>
        </w:rPr>
        <w:t xml:space="preserve"> </w:t>
      </w:r>
      <w:r>
        <w:rPr>
          <w:rFonts w:cs="Times New Roman"/>
          <w:szCs w:val="24"/>
          <w:lang w:val="en-GB"/>
        </w:rPr>
        <w:t xml:space="preserve">The workforce was recently enlarged particularly at wiring systems facilities in Eastern Europe and North Africa as well as at automotive cables plants in Asia and the </w:t>
      </w:r>
      <w:smartTag w:uri="urn:schemas-microsoft-com:office:smarttags" w:element="country-region">
        <w:smartTag w:uri="urn:schemas-microsoft-com:office:smarttags" w:element="place">
          <w:r>
            <w:rPr>
              <w:rFonts w:cs="Times New Roman"/>
              <w:szCs w:val="24"/>
              <w:lang w:val="en-GB"/>
            </w:rPr>
            <w:t>Americas</w:t>
          </w:r>
        </w:smartTag>
      </w:smartTag>
      <w:r>
        <w:rPr>
          <w:rFonts w:cs="Times New Roman"/>
          <w:szCs w:val="24"/>
          <w:lang w:val="en-GB"/>
        </w:rPr>
        <w:t xml:space="preserve">. </w:t>
      </w:r>
      <w:r w:rsidRPr="00D6203C">
        <w:rPr>
          <w:rFonts w:cs="Times New Roman"/>
          <w:szCs w:val="24"/>
          <w:lang w:val="en-US"/>
        </w:rPr>
        <w:t xml:space="preserve"> </w:t>
      </w:r>
    </w:p>
    <w:p w:rsidR="00D6203C" w:rsidRPr="008F04A4" w:rsidRDefault="00D6203C" w:rsidP="00D6203C">
      <w:pPr>
        <w:pStyle w:val="MMZwischenberschrift"/>
        <w:rPr>
          <w:rFonts w:cs="Times New Roman"/>
          <w:szCs w:val="24"/>
          <w:lang w:val="en-US"/>
        </w:rPr>
      </w:pPr>
      <w:r>
        <w:rPr>
          <w:rFonts w:cs="Times New Roman"/>
          <w:szCs w:val="24"/>
          <w:lang w:val="en-GB"/>
        </w:rPr>
        <w:t>Leoni invests about EUR 100 million</w:t>
      </w:r>
    </w:p>
    <w:p w:rsidR="00D6203C" w:rsidRPr="00D6203C" w:rsidRDefault="00D6203C" w:rsidP="00D6203C">
      <w:pPr>
        <w:pStyle w:val="MMFlietext"/>
        <w:rPr>
          <w:rFonts w:cs="Times New Roman"/>
          <w:szCs w:val="24"/>
          <w:lang w:val="en-US"/>
        </w:rPr>
      </w:pPr>
      <w:r>
        <w:rPr>
          <w:rFonts w:cs="Times New Roman"/>
          <w:szCs w:val="24"/>
          <w:lang w:val="en-GB"/>
        </w:rPr>
        <w:t xml:space="preserve">The LEONI Group’s capital expenditure in the first half of 2015 was up by about 11 percent year on year to EUR 98.7 million (previous year: EUR 89.2 million). In the Wiring Systems Division this involved additional production </w:t>
      </w:r>
      <w:r>
        <w:rPr>
          <w:rFonts w:cs="Times New Roman"/>
          <w:szCs w:val="24"/>
          <w:lang w:val="en-GB"/>
        </w:rPr>
        <w:lastRenderedPageBreak/>
        <w:t>capacity for customer projects in China and Serbia as well as expansion of facilities in Eastern Europe and North Africa.</w:t>
      </w:r>
      <w:r w:rsidRPr="00D6203C">
        <w:rPr>
          <w:rFonts w:cs="Times New Roman"/>
          <w:szCs w:val="24"/>
          <w:lang w:val="en-US"/>
        </w:rPr>
        <w:t xml:space="preserve"> </w:t>
      </w:r>
      <w:r>
        <w:rPr>
          <w:rFonts w:cs="Times New Roman"/>
          <w:szCs w:val="24"/>
          <w:lang w:val="en-GB"/>
        </w:rPr>
        <w:t xml:space="preserve">The Wire &amp; Cable Solutions Division invested primarily in two new automotive cables plants in Mexico and China, a special cables production </w:t>
      </w:r>
      <w:r w:rsidR="008F04A4">
        <w:rPr>
          <w:rFonts w:cs="Times New Roman"/>
          <w:szCs w:val="24"/>
          <w:lang w:val="en-GB"/>
        </w:rPr>
        <w:t xml:space="preserve">facility </w:t>
      </w:r>
      <w:r>
        <w:rPr>
          <w:rFonts w:cs="Times New Roman"/>
          <w:szCs w:val="24"/>
          <w:lang w:val="en-GB"/>
        </w:rPr>
        <w:t>in Eastern Europe as well as purchasing the site for the ‘Factory of the Future’ planned in Roth, Germany.</w:t>
      </w:r>
      <w:r w:rsidRPr="00D6203C">
        <w:rPr>
          <w:rFonts w:cs="Times New Roman"/>
          <w:szCs w:val="24"/>
          <w:lang w:val="en-US"/>
        </w:rPr>
        <w:t xml:space="preserve"> </w:t>
      </w:r>
    </w:p>
    <w:p w:rsidR="00D6203C" w:rsidRPr="00D6203C" w:rsidRDefault="00D6203C" w:rsidP="00D6203C">
      <w:pPr>
        <w:pStyle w:val="MMZwischenberschrift"/>
        <w:rPr>
          <w:rFonts w:cs="Times New Roman"/>
          <w:szCs w:val="24"/>
          <w:lang w:val="en-US"/>
        </w:rPr>
      </w:pPr>
      <w:r>
        <w:rPr>
          <w:rFonts w:cs="Times New Roman"/>
          <w:szCs w:val="24"/>
          <w:lang w:val="en-GB"/>
        </w:rPr>
        <w:t>Forecasts reaffirmed:</w:t>
      </w:r>
      <w:r w:rsidRPr="00D6203C">
        <w:rPr>
          <w:rFonts w:cs="Times New Roman"/>
          <w:szCs w:val="24"/>
          <w:lang w:val="en-US"/>
        </w:rPr>
        <w:t xml:space="preserve"> </w:t>
      </w:r>
      <w:r>
        <w:rPr>
          <w:rFonts w:cs="Times New Roman"/>
          <w:szCs w:val="24"/>
          <w:lang w:val="en-GB"/>
        </w:rPr>
        <w:t xml:space="preserve">performance on track for the year as a whole </w:t>
      </w:r>
      <w:r w:rsidRPr="00D6203C">
        <w:rPr>
          <w:rFonts w:cs="Times New Roman"/>
          <w:szCs w:val="24"/>
          <w:lang w:val="en-US"/>
        </w:rPr>
        <w:t xml:space="preserve"> </w:t>
      </w:r>
    </w:p>
    <w:p w:rsidR="00D6203C" w:rsidRPr="00D6203C" w:rsidRDefault="00D6203C" w:rsidP="00D6203C">
      <w:pPr>
        <w:pStyle w:val="MMFlietext"/>
        <w:rPr>
          <w:rFonts w:cs="Times New Roman"/>
          <w:szCs w:val="24"/>
          <w:lang w:val="en-US"/>
        </w:rPr>
      </w:pPr>
      <w:r>
        <w:rPr>
          <w:rFonts w:cs="Times New Roman"/>
          <w:szCs w:val="24"/>
          <w:lang w:val="en-GB"/>
        </w:rPr>
        <w:t>Based on the considerable sales and earnings increases in the second quarter, Leoni’s Management Board regards the Company as still being on course for the set full-year targets.</w:t>
      </w:r>
      <w:r w:rsidRPr="00D6203C">
        <w:rPr>
          <w:rFonts w:cs="Times New Roman"/>
          <w:szCs w:val="24"/>
          <w:lang w:val="en-US"/>
        </w:rPr>
        <w:t xml:space="preserve"> </w:t>
      </w:r>
      <w:r>
        <w:rPr>
          <w:rFonts w:cs="Times New Roman"/>
          <w:szCs w:val="24"/>
          <w:lang w:val="en-GB"/>
        </w:rPr>
        <w:t>Leoni still projects increases in consolidated sales to a currency-adjusted level of about EUR 4.3 billion (2014: EUR 4.1 billion) and in consolidated EBIT to more than EUR 200 million (2014: EUR 182.5 million).</w:t>
      </w:r>
      <w:r w:rsidRPr="00D6203C">
        <w:rPr>
          <w:rFonts w:cs="Times New Roman"/>
          <w:szCs w:val="24"/>
          <w:lang w:val="en-US"/>
        </w:rPr>
        <w:t xml:space="preserve"> </w:t>
      </w:r>
      <w:r>
        <w:rPr>
          <w:rFonts w:cs="Times New Roman"/>
          <w:szCs w:val="24"/>
          <w:lang w:val="en-GB"/>
        </w:rPr>
        <w:t>In the Wiring Systems Division, there should be another surge in earnings particularly in the fourth quarter – after the normally slower summer months because of the plant holiday shutdowns in the automotive industry.</w:t>
      </w:r>
      <w:r w:rsidRPr="00D6203C">
        <w:rPr>
          <w:rFonts w:cs="Times New Roman"/>
          <w:szCs w:val="24"/>
          <w:lang w:val="en-US"/>
        </w:rPr>
        <w:t xml:space="preserve"> </w:t>
      </w:r>
      <w:r>
        <w:rPr>
          <w:rFonts w:cs="Times New Roman"/>
          <w:szCs w:val="24"/>
          <w:lang w:val="en-GB"/>
        </w:rPr>
        <w:t xml:space="preserve">The EBIT of the Wire &amp; Cable Solutions Division should improve significantly thanks especially to the absence of adverse, non-recurring factors as well as benefit from the 'WCS ON Excellence' performance programme and the new automotive cables plants in </w:t>
      </w:r>
      <w:smartTag w:uri="urn:schemas-microsoft-com:office:smarttags" w:element="country-region">
        <w:r>
          <w:rPr>
            <w:rFonts w:cs="Times New Roman"/>
            <w:szCs w:val="24"/>
            <w:lang w:val="en-GB"/>
          </w:rPr>
          <w:t>Mexico</w:t>
        </w:r>
      </w:smartTag>
      <w:r>
        <w:rPr>
          <w:rFonts w:cs="Times New Roman"/>
          <w:szCs w:val="24"/>
          <w:lang w:val="en-GB"/>
        </w:rPr>
        <w:t xml:space="preserve"> and </w:t>
      </w:r>
      <w:smartTag w:uri="urn:schemas-microsoft-com:office:smarttags" w:element="country-region">
        <w:smartTag w:uri="urn:schemas-microsoft-com:office:smarttags" w:element="place">
          <w:r>
            <w:rPr>
              <w:rFonts w:cs="Times New Roman"/>
              <w:szCs w:val="24"/>
              <w:lang w:val="en-GB"/>
            </w:rPr>
            <w:t>China</w:t>
          </w:r>
        </w:smartTag>
      </w:smartTag>
      <w:r>
        <w:rPr>
          <w:rFonts w:cs="Times New Roman"/>
          <w:szCs w:val="24"/>
          <w:lang w:val="en-GB"/>
        </w:rPr>
        <w:t>.</w:t>
      </w:r>
      <w:r w:rsidRPr="00D6203C">
        <w:rPr>
          <w:rFonts w:cs="Times New Roman"/>
          <w:szCs w:val="24"/>
          <w:lang w:val="en-US"/>
        </w:rPr>
        <w:t xml:space="preserve"> </w:t>
      </w:r>
    </w:p>
    <w:p w:rsidR="00F76833" w:rsidRDefault="00F76833" w:rsidP="00D6203C">
      <w:pPr>
        <w:ind w:right="1922"/>
        <w:rPr>
          <w:rFonts w:ascii="Arial" w:hAnsi="Arial" w:cs="Arial"/>
          <w:i/>
          <w:sz w:val="22"/>
          <w:szCs w:val="22"/>
          <w:lang w:val="en-GB"/>
        </w:rPr>
      </w:pPr>
      <w:r w:rsidRPr="0065356D">
        <w:rPr>
          <w:rFonts w:ascii="Arial" w:hAnsi="Arial" w:cs="Arial"/>
          <w:i/>
          <w:sz w:val="22"/>
          <w:szCs w:val="22"/>
          <w:lang w:val="en-GB"/>
        </w:rPr>
        <w:t>(</w:t>
      </w:r>
      <w:r w:rsidR="002744E1">
        <w:rPr>
          <w:rFonts w:ascii="Arial" w:hAnsi="Arial" w:cs="Arial"/>
          <w:i/>
          <w:sz w:val="22"/>
          <w:szCs w:val="22"/>
          <w:lang w:val="en-GB"/>
        </w:rPr>
        <w:t>5,</w:t>
      </w:r>
      <w:r w:rsidR="00D6203C">
        <w:rPr>
          <w:rFonts w:ascii="Arial" w:hAnsi="Arial" w:cs="Arial"/>
          <w:i/>
          <w:sz w:val="22"/>
          <w:szCs w:val="22"/>
          <w:lang w:val="en-GB"/>
        </w:rPr>
        <w:t>56</w:t>
      </w:r>
      <w:r w:rsidR="0078384F">
        <w:rPr>
          <w:rFonts w:ascii="Arial" w:hAnsi="Arial" w:cs="Arial"/>
          <w:i/>
          <w:sz w:val="22"/>
          <w:szCs w:val="22"/>
          <w:lang w:val="en-GB"/>
        </w:rPr>
        <w:t>2</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B84EE5" w:rsidRDefault="0078384F" w:rsidP="0019023D">
      <w:pPr>
        <w:pStyle w:val="MMKurzprofilberschrift"/>
        <w:rPr>
          <w:lang w:val="en-GB"/>
        </w:rPr>
      </w:pPr>
      <w:r>
        <w:rPr>
          <w:lang w:val="en-GB"/>
        </w:rPr>
        <w:br w:type="page"/>
      </w:r>
      <w:r w:rsidR="00B84EE5" w:rsidRPr="008218D9">
        <w:rPr>
          <w:lang w:val="en-GB"/>
        </w:rPr>
        <w:lastRenderedPageBreak/>
        <w:t>Leoni performance overview</w:t>
      </w: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803"/>
        <w:gridCol w:w="803"/>
        <w:gridCol w:w="804"/>
        <w:gridCol w:w="803"/>
        <w:gridCol w:w="803"/>
        <w:gridCol w:w="804"/>
      </w:tblGrid>
      <w:tr w:rsidR="0053287E" w:rsidRPr="00E1439C" w:rsidTr="007B067E">
        <w:tc>
          <w:tcPr>
            <w:tcW w:w="2948" w:type="dxa"/>
            <w:vMerge w:val="restart"/>
            <w:shd w:val="clear" w:color="auto" w:fill="auto"/>
            <w:vAlign w:val="center"/>
          </w:tcPr>
          <w:p w:rsidR="0053287E" w:rsidRPr="007174DF" w:rsidRDefault="00B84EE5" w:rsidP="00433392">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key</w:t>
            </w:r>
            <w:proofErr w:type="spellEnd"/>
            <w:r>
              <w:rPr>
                <w:rFonts w:ascii="Arial" w:hAnsi="Arial" w:cs="Arial"/>
                <w:b/>
                <w:sz w:val="18"/>
                <w:szCs w:val="18"/>
              </w:rPr>
              <w:t xml:space="preserve"> </w:t>
            </w:r>
            <w:proofErr w:type="spellStart"/>
            <w:r>
              <w:rPr>
                <w:rFonts w:ascii="Arial" w:hAnsi="Arial" w:cs="Arial"/>
                <w:b/>
                <w:sz w:val="18"/>
                <w:szCs w:val="18"/>
              </w:rPr>
              <w:t>figures</w:t>
            </w:r>
            <w:proofErr w:type="spellEnd"/>
          </w:p>
          <w:p w:rsidR="0053287E" w:rsidRPr="007174DF" w:rsidRDefault="0053287E" w:rsidP="00433392">
            <w:pPr>
              <w:tabs>
                <w:tab w:val="left" w:pos="8505"/>
              </w:tabs>
              <w:rPr>
                <w:rFonts w:ascii="Arial" w:hAnsi="Arial" w:cs="Arial"/>
                <w:b/>
                <w:sz w:val="18"/>
                <w:szCs w:val="18"/>
              </w:rPr>
            </w:pPr>
          </w:p>
        </w:tc>
        <w:tc>
          <w:tcPr>
            <w:tcW w:w="2410" w:type="dxa"/>
            <w:gridSpan w:val="3"/>
            <w:shd w:val="clear" w:color="auto" w:fill="auto"/>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 xml:space="preserve">2nd </w:t>
            </w:r>
            <w:proofErr w:type="spellStart"/>
            <w:r w:rsidRPr="00787B3E">
              <w:rPr>
                <w:rFonts w:ascii="Arial" w:hAnsi="Arial" w:cs="Arial"/>
                <w:b/>
                <w:sz w:val="18"/>
                <w:szCs w:val="18"/>
              </w:rPr>
              <w:t>quarter</w:t>
            </w:r>
            <w:proofErr w:type="spellEnd"/>
          </w:p>
        </w:tc>
        <w:tc>
          <w:tcPr>
            <w:tcW w:w="2410" w:type="dxa"/>
            <w:gridSpan w:val="3"/>
            <w:shd w:val="clear" w:color="auto" w:fill="auto"/>
            <w:vAlign w:val="center"/>
          </w:tcPr>
          <w:p w:rsidR="0053287E" w:rsidRPr="00787B3E" w:rsidRDefault="0053287E" w:rsidP="00787B3E">
            <w:pPr>
              <w:tabs>
                <w:tab w:val="left" w:pos="8505"/>
              </w:tabs>
              <w:ind w:right="113"/>
              <w:jc w:val="center"/>
              <w:rPr>
                <w:rFonts w:ascii="Arial" w:hAnsi="Arial" w:cs="Arial"/>
                <w:b/>
                <w:sz w:val="18"/>
                <w:szCs w:val="18"/>
              </w:rPr>
            </w:pPr>
            <w:r w:rsidRPr="00787B3E">
              <w:rPr>
                <w:rFonts w:ascii="Arial" w:hAnsi="Arial" w:cs="Arial"/>
                <w:b/>
                <w:sz w:val="18"/>
                <w:szCs w:val="18"/>
              </w:rPr>
              <w:t>1</w:t>
            </w:r>
            <w:r w:rsidR="00787B3E" w:rsidRPr="00787B3E">
              <w:rPr>
                <w:rFonts w:ascii="Arial" w:hAnsi="Arial" w:cs="Arial"/>
                <w:b/>
                <w:sz w:val="18"/>
                <w:szCs w:val="18"/>
              </w:rPr>
              <w:t>st half</w:t>
            </w:r>
          </w:p>
        </w:tc>
      </w:tr>
      <w:tr w:rsidR="0053287E" w:rsidRPr="00E1439C" w:rsidTr="007B067E">
        <w:tc>
          <w:tcPr>
            <w:tcW w:w="2948" w:type="dxa"/>
            <w:vMerge/>
            <w:vAlign w:val="center"/>
          </w:tcPr>
          <w:p w:rsidR="0053287E" w:rsidRPr="007174DF" w:rsidRDefault="0053287E" w:rsidP="00433392">
            <w:pPr>
              <w:tabs>
                <w:tab w:val="left" w:pos="8505"/>
              </w:tabs>
              <w:rPr>
                <w:rFonts w:ascii="Arial" w:hAnsi="Arial" w:cs="Arial"/>
                <w:b/>
                <w:sz w:val="18"/>
                <w:szCs w:val="18"/>
              </w:rPr>
            </w:pPr>
          </w:p>
        </w:tc>
        <w:tc>
          <w:tcPr>
            <w:tcW w:w="803" w:type="dxa"/>
            <w:noWrap/>
            <w:tcMar>
              <w:left w:w="28" w:type="dxa"/>
              <w:right w:w="28" w:type="dxa"/>
            </w:tcMar>
            <w:vAlign w:val="center"/>
          </w:tcPr>
          <w:p w:rsidR="0053287E" w:rsidRPr="00787B3E" w:rsidRDefault="0053287E" w:rsidP="00D6203C">
            <w:pPr>
              <w:tabs>
                <w:tab w:val="left" w:pos="8505"/>
              </w:tabs>
              <w:jc w:val="center"/>
              <w:rPr>
                <w:rFonts w:ascii="Arial" w:hAnsi="Arial" w:cs="Arial"/>
                <w:b/>
                <w:sz w:val="18"/>
                <w:szCs w:val="18"/>
              </w:rPr>
            </w:pPr>
            <w:r w:rsidRPr="00787B3E">
              <w:rPr>
                <w:rFonts w:ascii="Arial" w:hAnsi="Arial" w:cs="Arial"/>
                <w:b/>
                <w:sz w:val="18"/>
                <w:szCs w:val="18"/>
              </w:rPr>
              <w:t>201</w:t>
            </w:r>
            <w:r w:rsidR="00D6203C">
              <w:rPr>
                <w:rFonts w:ascii="Arial" w:hAnsi="Arial" w:cs="Arial"/>
                <w:b/>
                <w:sz w:val="18"/>
                <w:szCs w:val="18"/>
              </w:rPr>
              <w:t>5</w:t>
            </w:r>
          </w:p>
        </w:tc>
        <w:tc>
          <w:tcPr>
            <w:tcW w:w="803" w:type="dxa"/>
            <w:tcMar>
              <w:left w:w="28" w:type="dxa"/>
              <w:right w:w="28" w:type="dxa"/>
            </w:tcMar>
            <w:vAlign w:val="center"/>
          </w:tcPr>
          <w:p w:rsidR="0053287E" w:rsidRPr="00787B3E" w:rsidRDefault="0053287E" w:rsidP="00D6203C">
            <w:pPr>
              <w:tabs>
                <w:tab w:val="left" w:pos="8505"/>
              </w:tabs>
              <w:jc w:val="center"/>
              <w:rPr>
                <w:rFonts w:ascii="Arial" w:hAnsi="Arial" w:cs="Arial"/>
                <w:b/>
                <w:sz w:val="18"/>
                <w:szCs w:val="18"/>
              </w:rPr>
            </w:pPr>
            <w:r w:rsidRPr="00787B3E">
              <w:rPr>
                <w:rFonts w:ascii="Arial" w:hAnsi="Arial" w:cs="Arial"/>
                <w:b/>
                <w:sz w:val="18"/>
                <w:szCs w:val="18"/>
              </w:rPr>
              <w:t>201</w:t>
            </w:r>
            <w:r w:rsidR="00D6203C">
              <w:rPr>
                <w:rFonts w:ascii="Arial" w:hAnsi="Arial" w:cs="Arial"/>
                <w:b/>
                <w:sz w:val="18"/>
                <w:szCs w:val="18"/>
              </w:rPr>
              <w:t>4</w:t>
            </w:r>
          </w:p>
        </w:tc>
        <w:tc>
          <w:tcPr>
            <w:tcW w:w="804" w:type="dxa"/>
            <w:tcMar>
              <w:left w:w="28" w:type="dxa"/>
              <w:right w:w="28" w:type="dxa"/>
            </w:tcMa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c>
          <w:tcPr>
            <w:tcW w:w="803" w:type="dxa"/>
            <w:tcMar>
              <w:left w:w="28" w:type="dxa"/>
              <w:right w:w="28" w:type="dxa"/>
            </w:tcMar>
            <w:vAlign w:val="center"/>
          </w:tcPr>
          <w:p w:rsidR="0053287E" w:rsidRPr="00787B3E" w:rsidRDefault="0053287E" w:rsidP="00D6203C">
            <w:pPr>
              <w:tabs>
                <w:tab w:val="left" w:pos="8505"/>
              </w:tabs>
              <w:jc w:val="center"/>
              <w:rPr>
                <w:rFonts w:ascii="Arial" w:hAnsi="Arial" w:cs="Arial"/>
                <w:b/>
                <w:sz w:val="18"/>
                <w:szCs w:val="18"/>
              </w:rPr>
            </w:pPr>
            <w:r w:rsidRPr="00787B3E">
              <w:rPr>
                <w:rFonts w:ascii="Arial" w:hAnsi="Arial" w:cs="Arial"/>
                <w:b/>
                <w:sz w:val="18"/>
                <w:szCs w:val="18"/>
              </w:rPr>
              <w:t>201</w:t>
            </w:r>
            <w:r w:rsidR="00D6203C">
              <w:rPr>
                <w:rFonts w:ascii="Arial" w:hAnsi="Arial" w:cs="Arial"/>
                <w:b/>
                <w:sz w:val="18"/>
                <w:szCs w:val="18"/>
              </w:rPr>
              <w:t>5</w:t>
            </w:r>
          </w:p>
        </w:tc>
        <w:tc>
          <w:tcPr>
            <w:tcW w:w="803" w:type="dxa"/>
            <w:tcMar>
              <w:left w:w="28" w:type="dxa"/>
              <w:right w:w="28" w:type="dxa"/>
            </w:tcMar>
            <w:vAlign w:val="center"/>
          </w:tcPr>
          <w:p w:rsidR="0053287E" w:rsidRPr="00787B3E" w:rsidRDefault="0053287E" w:rsidP="00D6203C">
            <w:pPr>
              <w:tabs>
                <w:tab w:val="left" w:pos="8505"/>
              </w:tabs>
              <w:jc w:val="center"/>
              <w:rPr>
                <w:rFonts w:ascii="Arial" w:hAnsi="Arial" w:cs="Arial"/>
                <w:b/>
                <w:sz w:val="18"/>
                <w:szCs w:val="18"/>
              </w:rPr>
            </w:pPr>
            <w:r w:rsidRPr="00787B3E">
              <w:rPr>
                <w:rFonts w:ascii="Arial" w:hAnsi="Arial" w:cs="Arial"/>
                <w:b/>
                <w:sz w:val="18"/>
                <w:szCs w:val="18"/>
              </w:rPr>
              <w:t>201</w:t>
            </w:r>
            <w:r w:rsidR="00D6203C">
              <w:rPr>
                <w:rFonts w:ascii="Arial" w:hAnsi="Arial" w:cs="Arial"/>
                <w:b/>
                <w:sz w:val="18"/>
                <w:szCs w:val="18"/>
              </w:rPr>
              <w:t>4</w:t>
            </w:r>
          </w:p>
        </w:tc>
        <w:tc>
          <w:tcPr>
            <w:tcW w:w="804" w:type="dxa"/>
            <w:tcMar>
              <w:left w:w="28" w:type="dxa"/>
              <w:right w:w="28" w:type="dxa"/>
            </w:tcMar>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r>
      <w:tr w:rsidR="00D6203C" w:rsidRPr="0078384F" w:rsidTr="007B067E">
        <w:trPr>
          <w:trHeight w:val="284"/>
        </w:trPr>
        <w:tc>
          <w:tcPr>
            <w:tcW w:w="2948" w:type="dxa"/>
            <w:vAlign w:val="center"/>
          </w:tcPr>
          <w:p w:rsidR="00D6203C" w:rsidRPr="0078384F" w:rsidRDefault="00D6203C" w:rsidP="00433392">
            <w:pPr>
              <w:tabs>
                <w:tab w:val="left" w:pos="8505"/>
              </w:tabs>
            </w:pPr>
            <w:r w:rsidRPr="0078384F">
              <w:rPr>
                <w:rFonts w:ascii="Arial" w:hAnsi="Arial"/>
                <w:sz w:val="18"/>
                <w:lang w:val="en-GB"/>
              </w:rPr>
              <w:t>Sales [€ million]</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1</w:t>
            </w:r>
            <w:r w:rsidR="0078384F" w:rsidRPr="0078384F">
              <w:rPr>
                <w:rFonts w:ascii="Arial" w:hAnsi="Arial" w:cs="Arial"/>
                <w:sz w:val="18"/>
                <w:szCs w:val="18"/>
                <w:lang w:val="it-IT"/>
              </w:rPr>
              <w:t>,</w:t>
            </w:r>
            <w:r w:rsidRPr="0078384F">
              <w:rPr>
                <w:rFonts w:ascii="Arial" w:hAnsi="Arial" w:cs="Arial"/>
                <w:sz w:val="18"/>
                <w:szCs w:val="18"/>
                <w:lang w:val="it-IT"/>
              </w:rPr>
              <w:t>155</w:t>
            </w:r>
            <w:r w:rsidR="0078384F" w:rsidRPr="0078384F">
              <w:rPr>
                <w:rFonts w:ascii="Arial" w:hAnsi="Arial" w:cs="Arial"/>
                <w:sz w:val="18"/>
                <w:szCs w:val="18"/>
                <w:lang w:val="it-IT"/>
              </w:rPr>
              <w:t>.</w:t>
            </w:r>
            <w:r w:rsidRPr="0078384F">
              <w:rPr>
                <w:rFonts w:ascii="Arial" w:hAnsi="Arial" w:cs="Arial"/>
                <w:sz w:val="18"/>
                <w:szCs w:val="18"/>
                <w:lang w:val="it-IT"/>
              </w:rPr>
              <w:t>7</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1</w:t>
            </w:r>
            <w:r w:rsidR="0078384F" w:rsidRPr="0078384F">
              <w:rPr>
                <w:rFonts w:ascii="Arial" w:hAnsi="Arial" w:cs="Arial"/>
                <w:sz w:val="18"/>
                <w:szCs w:val="18"/>
                <w:lang w:val="it-IT"/>
              </w:rPr>
              <w:t>,</w:t>
            </w:r>
            <w:r w:rsidRPr="0078384F">
              <w:rPr>
                <w:rFonts w:ascii="Arial" w:hAnsi="Arial" w:cs="Arial"/>
                <w:sz w:val="18"/>
                <w:szCs w:val="18"/>
                <w:lang w:val="it-IT"/>
              </w:rPr>
              <w:t>019</w:t>
            </w:r>
            <w:r w:rsidR="0078384F" w:rsidRPr="0078384F">
              <w:rPr>
                <w:rFonts w:ascii="Arial" w:hAnsi="Arial" w:cs="Arial"/>
                <w:sz w:val="18"/>
                <w:szCs w:val="18"/>
                <w:lang w:val="it-IT"/>
              </w:rPr>
              <w:t>.</w:t>
            </w:r>
            <w:r w:rsidRPr="0078384F">
              <w:rPr>
                <w:rFonts w:ascii="Arial" w:hAnsi="Arial" w:cs="Arial"/>
                <w:sz w:val="18"/>
                <w:szCs w:val="18"/>
                <w:lang w:val="it-IT"/>
              </w:rPr>
              <w:t>4</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+13</w:t>
            </w:r>
            <w:r w:rsidR="0078384F" w:rsidRPr="0078384F">
              <w:rPr>
                <w:rFonts w:ascii="Arial" w:hAnsi="Arial" w:cs="Arial"/>
                <w:sz w:val="18"/>
                <w:szCs w:val="18"/>
                <w:lang w:val="it-IT"/>
              </w:rPr>
              <w:t>.</w:t>
            </w:r>
            <w:r w:rsidRPr="0078384F">
              <w:rPr>
                <w:rFonts w:ascii="Arial" w:hAnsi="Arial" w:cs="Arial"/>
                <w:sz w:val="18"/>
                <w:szCs w:val="18"/>
                <w:lang w:val="it-IT"/>
              </w:rPr>
              <w:t>4%</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2</w:t>
            </w:r>
            <w:r w:rsidR="0078384F" w:rsidRPr="0078384F">
              <w:rPr>
                <w:rFonts w:ascii="Arial" w:hAnsi="Arial" w:cs="Arial"/>
                <w:sz w:val="18"/>
                <w:szCs w:val="18"/>
                <w:lang w:val="it-IT"/>
              </w:rPr>
              <w:t>,</w:t>
            </w:r>
            <w:r w:rsidRPr="0078384F">
              <w:rPr>
                <w:rFonts w:ascii="Arial" w:hAnsi="Arial" w:cs="Arial"/>
                <w:sz w:val="18"/>
                <w:szCs w:val="18"/>
                <w:lang w:val="it-IT"/>
              </w:rPr>
              <w:t>264</w:t>
            </w:r>
            <w:r w:rsidR="0078384F" w:rsidRPr="0078384F">
              <w:rPr>
                <w:rFonts w:ascii="Arial" w:hAnsi="Arial" w:cs="Arial"/>
                <w:sz w:val="18"/>
                <w:szCs w:val="18"/>
                <w:lang w:val="it-IT"/>
              </w:rPr>
              <w:t>.</w:t>
            </w:r>
            <w:r w:rsidRPr="0078384F">
              <w:rPr>
                <w:rFonts w:ascii="Arial" w:hAnsi="Arial" w:cs="Arial"/>
                <w:sz w:val="18"/>
                <w:szCs w:val="18"/>
                <w:lang w:val="it-IT"/>
              </w:rPr>
              <w:t>5</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2</w:t>
            </w:r>
            <w:r w:rsidR="0078384F" w:rsidRPr="0078384F">
              <w:rPr>
                <w:rFonts w:ascii="Arial" w:hAnsi="Arial" w:cs="Arial"/>
                <w:sz w:val="18"/>
                <w:szCs w:val="18"/>
                <w:lang w:val="it-IT"/>
              </w:rPr>
              <w:t>,</w:t>
            </w:r>
            <w:r w:rsidRPr="0078384F">
              <w:rPr>
                <w:rFonts w:ascii="Arial" w:hAnsi="Arial" w:cs="Arial"/>
                <w:sz w:val="18"/>
                <w:szCs w:val="18"/>
                <w:lang w:val="it-IT"/>
              </w:rPr>
              <w:t>039</w:t>
            </w:r>
            <w:r w:rsidR="0078384F" w:rsidRPr="0078384F">
              <w:rPr>
                <w:rFonts w:ascii="Arial" w:hAnsi="Arial" w:cs="Arial"/>
                <w:sz w:val="18"/>
                <w:szCs w:val="18"/>
                <w:lang w:val="it-IT"/>
              </w:rPr>
              <w:t>.</w:t>
            </w:r>
            <w:r w:rsidRPr="0078384F">
              <w:rPr>
                <w:rFonts w:ascii="Arial" w:hAnsi="Arial" w:cs="Arial"/>
                <w:sz w:val="18"/>
                <w:szCs w:val="18"/>
                <w:lang w:val="it-IT"/>
              </w:rPr>
              <w:t>6</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+11</w:t>
            </w:r>
            <w:r w:rsidR="0078384F" w:rsidRPr="0078384F">
              <w:rPr>
                <w:rFonts w:ascii="Arial" w:hAnsi="Arial" w:cs="Arial"/>
                <w:sz w:val="18"/>
                <w:szCs w:val="18"/>
                <w:lang w:val="it-IT"/>
              </w:rPr>
              <w:t>.</w:t>
            </w:r>
            <w:r w:rsidRPr="0078384F">
              <w:rPr>
                <w:rFonts w:ascii="Arial" w:hAnsi="Arial" w:cs="Arial"/>
                <w:sz w:val="18"/>
                <w:szCs w:val="18"/>
                <w:lang w:val="it-IT"/>
              </w:rPr>
              <w:t>0%</w:t>
            </w:r>
          </w:p>
        </w:tc>
      </w:tr>
      <w:tr w:rsidR="00D6203C" w:rsidRPr="0078384F" w:rsidTr="007B067E">
        <w:trPr>
          <w:trHeight w:val="284"/>
        </w:trPr>
        <w:tc>
          <w:tcPr>
            <w:tcW w:w="2948" w:type="dxa"/>
            <w:vAlign w:val="center"/>
          </w:tcPr>
          <w:p w:rsidR="00D6203C" w:rsidRPr="0078384F" w:rsidRDefault="00D6203C" w:rsidP="00433392">
            <w:pPr>
              <w:tabs>
                <w:tab w:val="left" w:pos="8505"/>
              </w:tabs>
            </w:pPr>
            <w:r w:rsidRPr="0078384F">
              <w:rPr>
                <w:rFonts w:ascii="Arial" w:hAnsi="Arial"/>
                <w:sz w:val="18"/>
                <w:lang w:val="en-GB"/>
              </w:rPr>
              <w:t>EBITDA [€ million]</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84</w:t>
            </w:r>
            <w:r w:rsidR="0078384F" w:rsidRPr="0078384F">
              <w:rPr>
                <w:rFonts w:ascii="Arial" w:hAnsi="Arial" w:cs="Arial"/>
                <w:sz w:val="18"/>
                <w:szCs w:val="18"/>
                <w:lang w:val="it-IT"/>
              </w:rPr>
              <w:t>.</w:t>
            </w:r>
            <w:r w:rsidRPr="0078384F">
              <w:rPr>
                <w:rFonts w:ascii="Arial" w:hAnsi="Arial" w:cs="Arial"/>
                <w:sz w:val="18"/>
                <w:szCs w:val="18"/>
                <w:lang w:val="it-IT"/>
              </w:rPr>
              <w:t>7</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77</w:t>
            </w:r>
            <w:r w:rsidR="0078384F" w:rsidRPr="0078384F">
              <w:rPr>
                <w:rFonts w:ascii="Arial" w:hAnsi="Arial" w:cs="Arial"/>
                <w:sz w:val="18"/>
                <w:szCs w:val="18"/>
                <w:lang w:val="it-IT"/>
              </w:rPr>
              <w:t>.</w:t>
            </w:r>
            <w:r w:rsidRPr="0078384F">
              <w:rPr>
                <w:rFonts w:ascii="Arial" w:hAnsi="Arial" w:cs="Arial"/>
                <w:sz w:val="18"/>
                <w:szCs w:val="18"/>
                <w:lang w:val="it-IT"/>
              </w:rPr>
              <w:t>8</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+8</w:t>
            </w:r>
            <w:r w:rsidR="0078384F" w:rsidRPr="0078384F">
              <w:rPr>
                <w:rFonts w:ascii="Arial" w:hAnsi="Arial" w:cs="Arial"/>
                <w:sz w:val="18"/>
                <w:szCs w:val="18"/>
                <w:lang w:val="it-IT"/>
              </w:rPr>
              <w:t>.</w:t>
            </w:r>
            <w:r w:rsidRPr="0078384F">
              <w:rPr>
                <w:rFonts w:ascii="Arial" w:hAnsi="Arial" w:cs="Arial"/>
                <w:sz w:val="18"/>
                <w:szCs w:val="18"/>
                <w:lang w:val="it-IT"/>
              </w:rPr>
              <w:t>9%</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153</w:t>
            </w:r>
            <w:r w:rsidR="0078384F" w:rsidRPr="0078384F">
              <w:rPr>
                <w:rFonts w:ascii="Arial" w:hAnsi="Arial" w:cs="Arial"/>
                <w:sz w:val="18"/>
                <w:szCs w:val="18"/>
                <w:lang w:val="it-IT"/>
              </w:rPr>
              <w:t>.</w:t>
            </w:r>
            <w:r w:rsidRPr="0078384F">
              <w:rPr>
                <w:rFonts w:ascii="Arial" w:hAnsi="Arial" w:cs="Arial"/>
                <w:sz w:val="18"/>
                <w:szCs w:val="18"/>
                <w:lang w:val="it-IT"/>
              </w:rPr>
              <w:t>4</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158</w:t>
            </w:r>
            <w:r w:rsidR="0078384F" w:rsidRPr="0078384F">
              <w:rPr>
                <w:rFonts w:ascii="Arial" w:hAnsi="Arial" w:cs="Arial"/>
                <w:sz w:val="18"/>
                <w:szCs w:val="18"/>
                <w:lang w:val="it-IT"/>
              </w:rPr>
              <w:t>.</w:t>
            </w:r>
            <w:r w:rsidRPr="0078384F">
              <w:rPr>
                <w:rFonts w:ascii="Arial" w:hAnsi="Arial" w:cs="Arial"/>
                <w:sz w:val="18"/>
                <w:szCs w:val="18"/>
                <w:lang w:val="it-IT"/>
              </w:rPr>
              <w:t>5</w:t>
            </w:r>
          </w:p>
        </w:tc>
        <w:tc>
          <w:tcPr>
            <w:tcW w:w="804" w:type="dxa"/>
            <w:tcMar>
              <w:left w:w="28" w:type="dxa"/>
              <w:right w:w="28" w:type="dxa"/>
            </w:tcMar>
            <w:vAlign w:val="center"/>
          </w:tcPr>
          <w:p w:rsidR="00D6203C" w:rsidRPr="0078384F" w:rsidRDefault="001B61BA" w:rsidP="001B61BA">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D6203C" w:rsidRPr="0078384F">
              <w:rPr>
                <w:rFonts w:ascii="Arial" w:hAnsi="Arial" w:cs="Arial"/>
                <w:sz w:val="18"/>
                <w:szCs w:val="18"/>
                <w:lang w:val="it-IT"/>
              </w:rPr>
              <w:t>3</w:t>
            </w:r>
            <w:r w:rsidR="0078384F" w:rsidRPr="0078384F">
              <w:rPr>
                <w:rFonts w:ascii="Arial" w:hAnsi="Arial" w:cs="Arial"/>
                <w:sz w:val="18"/>
                <w:szCs w:val="18"/>
                <w:lang w:val="it-IT"/>
              </w:rPr>
              <w:t>.</w:t>
            </w:r>
            <w:r w:rsidR="00D6203C" w:rsidRPr="0078384F">
              <w:rPr>
                <w:rFonts w:ascii="Arial" w:hAnsi="Arial" w:cs="Arial"/>
                <w:sz w:val="18"/>
                <w:szCs w:val="18"/>
                <w:lang w:val="it-IT"/>
              </w:rPr>
              <w:t>2</w:t>
            </w:r>
            <w:r>
              <w:rPr>
                <w:rFonts w:ascii="Arial" w:hAnsi="Arial" w:cs="Arial"/>
                <w:sz w:val="18"/>
                <w:szCs w:val="18"/>
                <w:lang w:val="it-IT"/>
              </w:rPr>
              <w:t>)</w:t>
            </w:r>
            <w:r w:rsidR="00D6203C" w:rsidRPr="0078384F">
              <w:rPr>
                <w:rFonts w:ascii="Arial" w:hAnsi="Arial" w:cs="Arial"/>
                <w:sz w:val="18"/>
                <w:szCs w:val="18"/>
                <w:lang w:val="it-IT"/>
              </w:rPr>
              <w:t>%</w:t>
            </w:r>
          </w:p>
        </w:tc>
      </w:tr>
      <w:tr w:rsidR="00D6203C" w:rsidRPr="0078384F" w:rsidTr="007B067E">
        <w:trPr>
          <w:trHeight w:val="284"/>
        </w:trPr>
        <w:tc>
          <w:tcPr>
            <w:tcW w:w="2948" w:type="dxa"/>
            <w:vAlign w:val="center"/>
          </w:tcPr>
          <w:p w:rsidR="00D6203C" w:rsidRPr="0078384F" w:rsidRDefault="00D6203C" w:rsidP="00433392">
            <w:pPr>
              <w:tabs>
                <w:tab w:val="left" w:pos="8505"/>
              </w:tabs>
              <w:rPr>
                <w:lang w:val="en-US"/>
              </w:rPr>
            </w:pPr>
            <w:r w:rsidRPr="0078384F">
              <w:rPr>
                <w:rFonts w:ascii="Arial" w:hAnsi="Arial"/>
                <w:sz w:val="18"/>
                <w:lang w:val="en-GB"/>
              </w:rPr>
              <w:t>EBIT [€ million]</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50</w:t>
            </w:r>
            <w:r w:rsidR="0078384F" w:rsidRPr="0078384F">
              <w:rPr>
                <w:rFonts w:ascii="Arial" w:hAnsi="Arial" w:cs="Arial"/>
                <w:sz w:val="18"/>
                <w:szCs w:val="18"/>
                <w:lang w:val="it-IT"/>
              </w:rPr>
              <w:t>.</w:t>
            </w:r>
            <w:r w:rsidRPr="0078384F">
              <w:rPr>
                <w:rFonts w:ascii="Arial" w:hAnsi="Arial" w:cs="Arial"/>
                <w:sz w:val="18"/>
                <w:szCs w:val="18"/>
                <w:lang w:val="it-IT"/>
              </w:rPr>
              <w:t>4</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47</w:t>
            </w:r>
            <w:r w:rsidR="0078384F" w:rsidRPr="0078384F">
              <w:rPr>
                <w:rFonts w:ascii="Arial" w:hAnsi="Arial" w:cs="Arial"/>
                <w:sz w:val="18"/>
                <w:szCs w:val="18"/>
                <w:lang w:val="it-IT"/>
              </w:rPr>
              <w:t>.</w:t>
            </w:r>
            <w:r w:rsidRPr="0078384F">
              <w:rPr>
                <w:rFonts w:ascii="Arial" w:hAnsi="Arial" w:cs="Arial"/>
                <w:sz w:val="18"/>
                <w:szCs w:val="18"/>
                <w:lang w:val="it-IT"/>
              </w:rPr>
              <w:t>3</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+6</w:t>
            </w:r>
            <w:r w:rsidR="0078384F" w:rsidRPr="0078384F">
              <w:rPr>
                <w:rFonts w:ascii="Arial" w:hAnsi="Arial" w:cs="Arial"/>
                <w:sz w:val="18"/>
                <w:szCs w:val="18"/>
                <w:lang w:val="it-IT"/>
              </w:rPr>
              <w:t>.</w:t>
            </w:r>
            <w:r w:rsidRPr="0078384F">
              <w:rPr>
                <w:rFonts w:ascii="Arial" w:hAnsi="Arial" w:cs="Arial"/>
                <w:sz w:val="18"/>
                <w:szCs w:val="18"/>
                <w:lang w:val="it-IT"/>
              </w:rPr>
              <w:t>4%</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85</w:t>
            </w:r>
            <w:r w:rsidR="0078384F" w:rsidRPr="0078384F">
              <w:rPr>
                <w:rFonts w:ascii="Arial" w:hAnsi="Arial" w:cs="Arial"/>
                <w:sz w:val="18"/>
                <w:szCs w:val="18"/>
                <w:lang w:val="it-IT"/>
              </w:rPr>
              <w:t>.</w:t>
            </w:r>
            <w:r w:rsidRPr="0078384F">
              <w:rPr>
                <w:rFonts w:ascii="Arial" w:hAnsi="Arial" w:cs="Arial"/>
                <w:sz w:val="18"/>
                <w:szCs w:val="18"/>
                <w:lang w:val="it-IT"/>
              </w:rPr>
              <w:t>5</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97</w:t>
            </w:r>
            <w:r w:rsidR="0078384F" w:rsidRPr="0078384F">
              <w:rPr>
                <w:rFonts w:ascii="Arial" w:hAnsi="Arial" w:cs="Arial"/>
                <w:sz w:val="18"/>
                <w:szCs w:val="18"/>
                <w:lang w:val="it-IT"/>
              </w:rPr>
              <w:t>.</w:t>
            </w:r>
            <w:r w:rsidRPr="0078384F">
              <w:rPr>
                <w:rFonts w:ascii="Arial" w:hAnsi="Arial" w:cs="Arial"/>
                <w:sz w:val="18"/>
                <w:szCs w:val="18"/>
                <w:lang w:val="it-IT"/>
              </w:rPr>
              <w:t>9</w:t>
            </w:r>
          </w:p>
        </w:tc>
        <w:tc>
          <w:tcPr>
            <w:tcW w:w="804" w:type="dxa"/>
            <w:shd w:val="clear" w:color="auto" w:fill="auto"/>
            <w:tcMar>
              <w:left w:w="28" w:type="dxa"/>
              <w:right w:w="28" w:type="dxa"/>
            </w:tcMar>
            <w:vAlign w:val="center"/>
          </w:tcPr>
          <w:p w:rsidR="00D6203C" w:rsidRPr="0078384F" w:rsidRDefault="0078384F"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w:t>
            </w:r>
            <w:r w:rsidR="00D6203C" w:rsidRPr="0078384F">
              <w:rPr>
                <w:rFonts w:ascii="Arial" w:hAnsi="Arial" w:cs="Arial"/>
                <w:sz w:val="18"/>
                <w:szCs w:val="18"/>
                <w:lang w:val="it-IT"/>
              </w:rPr>
              <w:t>12</w:t>
            </w:r>
            <w:r w:rsidRPr="0078384F">
              <w:rPr>
                <w:rFonts w:ascii="Arial" w:hAnsi="Arial" w:cs="Arial"/>
                <w:sz w:val="18"/>
                <w:szCs w:val="18"/>
                <w:lang w:val="it-IT"/>
              </w:rPr>
              <w:t>.</w:t>
            </w:r>
            <w:r w:rsidR="00D6203C" w:rsidRPr="0078384F">
              <w:rPr>
                <w:rFonts w:ascii="Arial" w:hAnsi="Arial" w:cs="Arial"/>
                <w:sz w:val="18"/>
                <w:szCs w:val="18"/>
                <w:lang w:val="it-IT"/>
              </w:rPr>
              <w:t>7</w:t>
            </w:r>
            <w:r w:rsidRPr="0078384F">
              <w:rPr>
                <w:rFonts w:ascii="Arial" w:hAnsi="Arial" w:cs="Arial"/>
                <w:sz w:val="18"/>
                <w:szCs w:val="18"/>
                <w:lang w:val="it-IT"/>
              </w:rPr>
              <w:t>)</w:t>
            </w:r>
            <w:r w:rsidR="00D6203C" w:rsidRPr="0078384F">
              <w:rPr>
                <w:rFonts w:ascii="Arial" w:hAnsi="Arial" w:cs="Arial"/>
                <w:sz w:val="18"/>
                <w:szCs w:val="18"/>
                <w:lang w:val="it-IT"/>
              </w:rPr>
              <w:t>%</w:t>
            </w:r>
          </w:p>
        </w:tc>
      </w:tr>
      <w:tr w:rsidR="00D6203C" w:rsidRPr="0078384F" w:rsidTr="007B067E">
        <w:trPr>
          <w:trHeight w:val="284"/>
        </w:trPr>
        <w:tc>
          <w:tcPr>
            <w:tcW w:w="2948" w:type="dxa"/>
            <w:vAlign w:val="center"/>
          </w:tcPr>
          <w:p w:rsidR="00D6203C" w:rsidRPr="0078384F" w:rsidRDefault="00D6203C" w:rsidP="00404C26">
            <w:pPr>
              <w:tabs>
                <w:tab w:val="left" w:pos="8505"/>
              </w:tabs>
              <w:rPr>
                <w:lang w:val="en-US"/>
              </w:rPr>
            </w:pPr>
            <w:r w:rsidRPr="0078384F">
              <w:rPr>
                <w:rFonts w:ascii="Arial" w:hAnsi="Arial"/>
                <w:sz w:val="18"/>
                <w:lang w:val="en-GB"/>
              </w:rPr>
              <w:t>Adjusted EBIT * [€ million]</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54</w:t>
            </w:r>
            <w:r w:rsidR="0078384F" w:rsidRPr="0078384F">
              <w:rPr>
                <w:rFonts w:ascii="Arial" w:hAnsi="Arial" w:cs="Arial"/>
                <w:sz w:val="18"/>
                <w:szCs w:val="18"/>
                <w:lang w:val="en-US"/>
              </w:rPr>
              <w:t>.</w:t>
            </w:r>
            <w:r w:rsidRPr="0078384F">
              <w:rPr>
                <w:rFonts w:ascii="Arial" w:hAnsi="Arial" w:cs="Arial"/>
                <w:sz w:val="18"/>
                <w:szCs w:val="18"/>
                <w:lang w:val="en-US"/>
              </w:rPr>
              <w:t>6</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50</w:t>
            </w:r>
            <w:r w:rsidR="0078384F" w:rsidRPr="0078384F">
              <w:rPr>
                <w:rFonts w:ascii="Arial" w:hAnsi="Arial" w:cs="Arial"/>
                <w:sz w:val="18"/>
                <w:szCs w:val="18"/>
                <w:lang w:val="en-US"/>
              </w:rPr>
              <w:t>.</w:t>
            </w:r>
            <w:r w:rsidRPr="0078384F">
              <w:rPr>
                <w:rFonts w:ascii="Arial" w:hAnsi="Arial" w:cs="Arial"/>
                <w:sz w:val="18"/>
                <w:szCs w:val="18"/>
                <w:lang w:val="en-US"/>
              </w:rPr>
              <w:t>9</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it-IT"/>
              </w:rPr>
              <w:t>+7</w:t>
            </w:r>
            <w:r w:rsidR="0078384F" w:rsidRPr="0078384F">
              <w:rPr>
                <w:rFonts w:ascii="Arial" w:hAnsi="Arial" w:cs="Arial"/>
                <w:sz w:val="18"/>
                <w:szCs w:val="18"/>
                <w:lang w:val="it-IT"/>
              </w:rPr>
              <w:t>.</w:t>
            </w:r>
            <w:r w:rsidRPr="0078384F">
              <w:rPr>
                <w:rFonts w:ascii="Arial" w:hAnsi="Arial" w:cs="Arial"/>
                <w:sz w:val="18"/>
                <w:szCs w:val="18"/>
                <w:lang w:val="it-IT"/>
              </w:rPr>
              <w:t>3%</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92</w:t>
            </w:r>
            <w:r w:rsidR="0078384F" w:rsidRPr="0078384F">
              <w:rPr>
                <w:rFonts w:ascii="Arial" w:hAnsi="Arial" w:cs="Arial"/>
                <w:sz w:val="18"/>
                <w:szCs w:val="18"/>
                <w:lang w:val="en-US"/>
              </w:rPr>
              <w:t>.</w:t>
            </w:r>
            <w:r w:rsidRPr="0078384F">
              <w:rPr>
                <w:rFonts w:ascii="Arial" w:hAnsi="Arial" w:cs="Arial"/>
                <w:sz w:val="18"/>
                <w:szCs w:val="18"/>
                <w:lang w:val="en-US"/>
              </w:rPr>
              <w:t>5</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103</w:t>
            </w:r>
            <w:r w:rsidR="0078384F" w:rsidRPr="0078384F">
              <w:rPr>
                <w:rFonts w:ascii="Arial" w:hAnsi="Arial" w:cs="Arial"/>
                <w:sz w:val="18"/>
                <w:szCs w:val="18"/>
                <w:lang w:val="en-US"/>
              </w:rPr>
              <w:t>.</w:t>
            </w:r>
            <w:r w:rsidRPr="0078384F">
              <w:rPr>
                <w:rFonts w:ascii="Arial" w:hAnsi="Arial" w:cs="Arial"/>
                <w:sz w:val="18"/>
                <w:szCs w:val="18"/>
                <w:lang w:val="en-US"/>
              </w:rPr>
              <w:t>8</w:t>
            </w:r>
          </w:p>
        </w:tc>
        <w:tc>
          <w:tcPr>
            <w:tcW w:w="804" w:type="dxa"/>
            <w:tcMar>
              <w:left w:w="28" w:type="dxa"/>
              <w:right w:w="28" w:type="dxa"/>
            </w:tcMar>
            <w:vAlign w:val="center"/>
          </w:tcPr>
          <w:p w:rsidR="00D6203C" w:rsidRPr="0078384F" w:rsidRDefault="0078384F"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w:t>
            </w:r>
            <w:r w:rsidR="00D6203C" w:rsidRPr="0078384F">
              <w:rPr>
                <w:rFonts w:ascii="Arial" w:hAnsi="Arial" w:cs="Arial"/>
                <w:sz w:val="18"/>
                <w:szCs w:val="18"/>
                <w:lang w:val="it-IT"/>
              </w:rPr>
              <w:t>10</w:t>
            </w:r>
            <w:r w:rsidRPr="0078384F">
              <w:rPr>
                <w:rFonts w:ascii="Arial" w:hAnsi="Arial" w:cs="Arial"/>
                <w:sz w:val="18"/>
                <w:szCs w:val="18"/>
                <w:lang w:val="it-IT"/>
              </w:rPr>
              <w:t>.</w:t>
            </w:r>
            <w:r w:rsidR="00D6203C" w:rsidRPr="0078384F">
              <w:rPr>
                <w:rFonts w:ascii="Arial" w:hAnsi="Arial" w:cs="Arial"/>
                <w:sz w:val="18"/>
                <w:szCs w:val="18"/>
                <w:lang w:val="it-IT"/>
              </w:rPr>
              <w:t>9</w:t>
            </w:r>
            <w:r w:rsidRPr="0078384F">
              <w:rPr>
                <w:rFonts w:ascii="Arial" w:hAnsi="Arial" w:cs="Arial"/>
                <w:sz w:val="18"/>
                <w:szCs w:val="18"/>
                <w:lang w:val="it-IT"/>
              </w:rPr>
              <w:t>)</w:t>
            </w:r>
            <w:r w:rsidR="00D6203C" w:rsidRPr="0078384F">
              <w:rPr>
                <w:rFonts w:ascii="Arial" w:hAnsi="Arial" w:cs="Arial"/>
                <w:sz w:val="18"/>
                <w:szCs w:val="18"/>
                <w:lang w:val="it-IT"/>
              </w:rPr>
              <w:t>%</w:t>
            </w:r>
          </w:p>
        </w:tc>
      </w:tr>
      <w:tr w:rsidR="00D6203C" w:rsidRPr="0078384F" w:rsidTr="007B067E">
        <w:trPr>
          <w:trHeight w:val="284"/>
        </w:trPr>
        <w:tc>
          <w:tcPr>
            <w:tcW w:w="2948" w:type="dxa"/>
            <w:vAlign w:val="center"/>
          </w:tcPr>
          <w:p w:rsidR="00D6203C" w:rsidRPr="0078384F" w:rsidRDefault="00D6203C" w:rsidP="00433392">
            <w:pPr>
              <w:tabs>
                <w:tab w:val="left" w:pos="8505"/>
              </w:tabs>
              <w:rPr>
                <w:lang w:val="en-US"/>
              </w:rPr>
            </w:pPr>
            <w:r w:rsidRPr="0078384F">
              <w:rPr>
                <w:rFonts w:ascii="Arial" w:hAnsi="Arial"/>
                <w:sz w:val="18"/>
                <w:lang w:val="en-GB"/>
              </w:rPr>
              <w:t>EBT [€ million]</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43</w:t>
            </w:r>
            <w:r w:rsidR="0078384F" w:rsidRPr="0078384F">
              <w:rPr>
                <w:rFonts w:ascii="Arial" w:hAnsi="Arial" w:cs="Arial"/>
                <w:sz w:val="18"/>
                <w:szCs w:val="18"/>
                <w:lang w:val="en-US"/>
              </w:rPr>
              <w:t>.</w:t>
            </w:r>
            <w:r w:rsidRPr="0078384F">
              <w:rPr>
                <w:rFonts w:ascii="Arial" w:hAnsi="Arial" w:cs="Arial"/>
                <w:sz w:val="18"/>
                <w:szCs w:val="18"/>
                <w:lang w:val="en-US"/>
              </w:rPr>
              <w:t>8</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39</w:t>
            </w:r>
            <w:r w:rsidR="0078384F" w:rsidRPr="0078384F">
              <w:rPr>
                <w:rFonts w:ascii="Arial" w:hAnsi="Arial" w:cs="Arial"/>
                <w:sz w:val="18"/>
                <w:szCs w:val="18"/>
                <w:lang w:val="en-US"/>
              </w:rPr>
              <w:t>.</w:t>
            </w:r>
            <w:r w:rsidRPr="0078384F">
              <w:rPr>
                <w:rFonts w:ascii="Arial" w:hAnsi="Arial" w:cs="Arial"/>
                <w:sz w:val="18"/>
                <w:szCs w:val="18"/>
                <w:lang w:val="en-US"/>
              </w:rPr>
              <w:t>7</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it-IT"/>
              </w:rPr>
              <w:t>+10</w:t>
            </w:r>
            <w:r w:rsidR="0078384F" w:rsidRPr="0078384F">
              <w:rPr>
                <w:rFonts w:ascii="Arial" w:hAnsi="Arial" w:cs="Arial"/>
                <w:sz w:val="18"/>
                <w:szCs w:val="18"/>
                <w:lang w:val="it-IT"/>
              </w:rPr>
              <w:t>.</w:t>
            </w:r>
            <w:r w:rsidRPr="0078384F">
              <w:rPr>
                <w:rFonts w:ascii="Arial" w:hAnsi="Arial" w:cs="Arial"/>
                <w:sz w:val="18"/>
                <w:szCs w:val="18"/>
                <w:lang w:val="it-IT"/>
              </w:rPr>
              <w:t>4%</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71</w:t>
            </w:r>
            <w:r w:rsidR="0078384F" w:rsidRPr="0078384F">
              <w:rPr>
                <w:rFonts w:ascii="Arial" w:hAnsi="Arial" w:cs="Arial"/>
                <w:sz w:val="18"/>
                <w:szCs w:val="18"/>
                <w:lang w:val="en-US"/>
              </w:rPr>
              <w:t>.</w:t>
            </w:r>
            <w:r w:rsidRPr="0078384F">
              <w:rPr>
                <w:rFonts w:ascii="Arial" w:hAnsi="Arial" w:cs="Arial"/>
                <w:sz w:val="18"/>
                <w:szCs w:val="18"/>
                <w:lang w:val="en-US"/>
              </w:rPr>
              <w:t>6</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83</w:t>
            </w:r>
            <w:r w:rsidR="0078384F" w:rsidRPr="0078384F">
              <w:rPr>
                <w:rFonts w:ascii="Arial" w:hAnsi="Arial" w:cs="Arial"/>
                <w:sz w:val="18"/>
                <w:szCs w:val="18"/>
                <w:lang w:val="en-US"/>
              </w:rPr>
              <w:t>.</w:t>
            </w:r>
            <w:r w:rsidRPr="0078384F">
              <w:rPr>
                <w:rFonts w:ascii="Arial" w:hAnsi="Arial" w:cs="Arial"/>
                <w:sz w:val="18"/>
                <w:szCs w:val="18"/>
                <w:lang w:val="en-US"/>
              </w:rPr>
              <w:t>4</w:t>
            </w:r>
          </w:p>
        </w:tc>
        <w:tc>
          <w:tcPr>
            <w:tcW w:w="804" w:type="dxa"/>
            <w:tcMar>
              <w:left w:w="28" w:type="dxa"/>
              <w:right w:w="28" w:type="dxa"/>
            </w:tcMar>
            <w:vAlign w:val="center"/>
          </w:tcPr>
          <w:p w:rsidR="00D6203C" w:rsidRPr="0078384F" w:rsidRDefault="0078384F"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w:t>
            </w:r>
            <w:r w:rsidR="00D6203C" w:rsidRPr="0078384F">
              <w:rPr>
                <w:rFonts w:ascii="Arial" w:hAnsi="Arial" w:cs="Arial"/>
                <w:sz w:val="18"/>
                <w:szCs w:val="18"/>
                <w:lang w:val="it-IT"/>
              </w:rPr>
              <w:t>14</w:t>
            </w:r>
            <w:r w:rsidRPr="0078384F">
              <w:rPr>
                <w:rFonts w:ascii="Arial" w:hAnsi="Arial" w:cs="Arial"/>
                <w:sz w:val="18"/>
                <w:szCs w:val="18"/>
                <w:lang w:val="it-IT"/>
              </w:rPr>
              <w:t>.</w:t>
            </w:r>
            <w:r w:rsidR="00D6203C" w:rsidRPr="0078384F">
              <w:rPr>
                <w:rFonts w:ascii="Arial" w:hAnsi="Arial" w:cs="Arial"/>
                <w:sz w:val="18"/>
                <w:szCs w:val="18"/>
                <w:lang w:val="it-IT"/>
              </w:rPr>
              <w:t>1</w:t>
            </w:r>
            <w:r w:rsidRPr="0078384F">
              <w:rPr>
                <w:rFonts w:ascii="Arial" w:hAnsi="Arial" w:cs="Arial"/>
                <w:sz w:val="18"/>
                <w:szCs w:val="18"/>
                <w:lang w:val="it-IT"/>
              </w:rPr>
              <w:t>)</w:t>
            </w:r>
            <w:r w:rsidR="00D6203C" w:rsidRPr="0078384F">
              <w:rPr>
                <w:rFonts w:ascii="Arial" w:hAnsi="Arial" w:cs="Arial"/>
                <w:sz w:val="18"/>
                <w:szCs w:val="18"/>
                <w:lang w:val="it-IT"/>
              </w:rPr>
              <w:t>%</w:t>
            </w:r>
          </w:p>
        </w:tc>
      </w:tr>
      <w:tr w:rsidR="00D6203C" w:rsidRPr="0078384F" w:rsidTr="007B067E">
        <w:trPr>
          <w:trHeight w:val="284"/>
        </w:trPr>
        <w:tc>
          <w:tcPr>
            <w:tcW w:w="2948" w:type="dxa"/>
            <w:vAlign w:val="center"/>
          </w:tcPr>
          <w:p w:rsidR="00D6203C" w:rsidRPr="0078384F" w:rsidRDefault="00D6203C" w:rsidP="00433392">
            <w:pPr>
              <w:tabs>
                <w:tab w:val="left" w:pos="8505"/>
              </w:tabs>
              <w:rPr>
                <w:lang w:val="en-US"/>
              </w:rPr>
            </w:pPr>
            <w:r w:rsidRPr="0078384F">
              <w:rPr>
                <w:rFonts w:ascii="Arial" w:hAnsi="Arial"/>
                <w:sz w:val="18"/>
                <w:lang w:val="en-GB"/>
              </w:rPr>
              <w:t>Consolidated net income [€ million]</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35</w:t>
            </w:r>
            <w:r w:rsidR="0078384F" w:rsidRPr="0078384F">
              <w:rPr>
                <w:rFonts w:ascii="Arial" w:hAnsi="Arial" w:cs="Arial"/>
                <w:sz w:val="18"/>
                <w:szCs w:val="18"/>
                <w:lang w:val="en-US"/>
              </w:rPr>
              <w:t>.</w:t>
            </w:r>
            <w:r w:rsidRPr="0078384F">
              <w:rPr>
                <w:rFonts w:ascii="Arial" w:hAnsi="Arial" w:cs="Arial"/>
                <w:sz w:val="18"/>
                <w:szCs w:val="18"/>
                <w:lang w:val="en-US"/>
              </w:rPr>
              <w:t>1</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29</w:t>
            </w:r>
            <w:r w:rsidR="0078384F" w:rsidRPr="0078384F">
              <w:rPr>
                <w:rFonts w:ascii="Arial" w:hAnsi="Arial" w:cs="Arial"/>
                <w:sz w:val="18"/>
                <w:szCs w:val="18"/>
                <w:lang w:val="en-US"/>
              </w:rPr>
              <w:t>.</w:t>
            </w:r>
            <w:r w:rsidRPr="0078384F">
              <w:rPr>
                <w:rFonts w:ascii="Arial" w:hAnsi="Arial" w:cs="Arial"/>
                <w:sz w:val="18"/>
                <w:szCs w:val="18"/>
                <w:lang w:val="en-US"/>
              </w:rPr>
              <w:t>9</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it-IT"/>
              </w:rPr>
              <w:t>+17</w:t>
            </w:r>
            <w:r w:rsidR="0078384F" w:rsidRPr="0078384F">
              <w:rPr>
                <w:rFonts w:ascii="Arial" w:hAnsi="Arial" w:cs="Arial"/>
                <w:sz w:val="18"/>
                <w:szCs w:val="18"/>
                <w:lang w:val="it-IT"/>
              </w:rPr>
              <w:t>.</w:t>
            </w:r>
            <w:r w:rsidRPr="0078384F">
              <w:rPr>
                <w:rFonts w:ascii="Arial" w:hAnsi="Arial" w:cs="Arial"/>
                <w:sz w:val="18"/>
                <w:szCs w:val="18"/>
                <w:lang w:val="it-IT"/>
              </w:rPr>
              <w:t>3%</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51</w:t>
            </w:r>
            <w:r w:rsidR="0078384F" w:rsidRPr="0078384F">
              <w:rPr>
                <w:rFonts w:ascii="Arial" w:hAnsi="Arial" w:cs="Arial"/>
                <w:sz w:val="18"/>
                <w:szCs w:val="18"/>
                <w:lang w:val="en-US"/>
              </w:rPr>
              <w:t>.</w:t>
            </w:r>
            <w:r w:rsidRPr="0078384F">
              <w:rPr>
                <w:rFonts w:ascii="Arial" w:hAnsi="Arial" w:cs="Arial"/>
                <w:sz w:val="18"/>
                <w:szCs w:val="18"/>
                <w:lang w:val="en-US"/>
              </w:rPr>
              <w:t>8</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61</w:t>
            </w:r>
            <w:r w:rsidR="0078384F" w:rsidRPr="0078384F">
              <w:rPr>
                <w:rFonts w:ascii="Arial" w:hAnsi="Arial" w:cs="Arial"/>
                <w:sz w:val="18"/>
                <w:szCs w:val="18"/>
                <w:lang w:val="en-US"/>
              </w:rPr>
              <w:t>.</w:t>
            </w:r>
            <w:r w:rsidRPr="0078384F">
              <w:rPr>
                <w:rFonts w:ascii="Arial" w:hAnsi="Arial" w:cs="Arial"/>
                <w:sz w:val="18"/>
                <w:szCs w:val="18"/>
                <w:lang w:val="en-US"/>
              </w:rPr>
              <w:t>4</w:t>
            </w:r>
          </w:p>
        </w:tc>
        <w:tc>
          <w:tcPr>
            <w:tcW w:w="804" w:type="dxa"/>
            <w:tcMar>
              <w:left w:w="28" w:type="dxa"/>
              <w:right w:w="28" w:type="dxa"/>
            </w:tcMar>
            <w:vAlign w:val="center"/>
          </w:tcPr>
          <w:p w:rsidR="00D6203C" w:rsidRPr="0078384F" w:rsidRDefault="0078384F"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w:t>
            </w:r>
            <w:r w:rsidR="00D6203C" w:rsidRPr="0078384F">
              <w:rPr>
                <w:rFonts w:ascii="Arial" w:hAnsi="Arial" w:cs="Arial"/>
                <w:sz w:val="18"/>
                <w:szCs w:val="18"/>
                <w:lang w:val="it-IT"/>
              </w:rPr>
              <w:t>15</w:t>
            </w:r>
            <w:r w:rsidRPr="0078384F">
              <w:rPr>
                <w:rFonts w:ascii="Arial" w:hAnsi="Arial" w:cs="Arial"/>
                <w:sz w:val="18"/>
                <w:szCs w:val="18"/>
                <w:lang w:val="it-IT"/>
              </w:rPr>
              <w:t>.</w:t>
            </w:r>
            <w:r w:rsidR="00D6203C" w:rsidRPr="0078384F">
              <w:rPr>
                <w:rFonts w:ascii="Arial" w:hAnsi="Arial" w:cs="Arial"/>
                <w:sz w:val="18"/>
                <w:szCs w:val="18"/>
                <w:lang w:val="it-IT"/>
              </w:rPr>
              <w:t>6</w:t>
            </w:r>
            <w:r w:rsidRPr="0078384F">
              <w:rPr>
                <w:rFonts w:ascii="Arial" w:hAnsi="Arial" w:cs="Arial"/>
                <w:sz w:val="18"/>
                <w:szCs w:val="18"/>
                <w:lang w:val="it-IT"/>
              </w:rPr>
              <w:t>)</w:t>
            </w:r>
            <w:r w:rsidR="00D6203C" w:rsidRPr="0078384F">
              <w:rPr>
                <w:rFonts w:ascii="Arial" w:hAnsi="Arial" w:cs="Arial"/>
                <w:sz w:val="18"/>
                <w:szCs w:val="18"/>
                <w:lang w:val="it-IT"/>
              </w:rPr>
              <w:t>%</w:t>
            </w:r>
          </w:p>
        </w:tc>
      </w:tr>
      <w:tr w:rsidR="00D6203C" w:rsidRPr="0078384F" w:rsidTr="007B067E">
        <w:trPr>
          <w:trHeight w:val="284"/>
        </w:trPr>
        <w:tc>
          <w:tcPr>
            <w:tcW w:w="2948" w:type="dxa"/>
            <w:vAlign w:val="center"/>
          </w:tcPr>
          <w:p w:rsidR="00D6203C" w:rsidRPr="0078384F" w:rsidRDefault="00D6203C" w:rsidP="00433392">
            <w:pPr>
              <w:tabs>
                <w:tab w:val="left" w:pos="8505"/>
              </w:tabs>
              <w:rPr>
                <w:lang w:val="en-US"/>
              </w:rPr>
            </w:pPr>
            <w:r w:rsidRPr="0078384F">
              <w:rPr>
                <w:rFonts w:ascii="Arial" w:hAnsi="Arial"/>
                <w:sz w:val="18"/>
                <w:lang w:val="en-GB"/>
              </w:rPr>
              <w:t>Capex incl. acquisitions [€ million]</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60</w:t>
            </w:r>
            <w:r w:rsidR="0078384F" w:rsidRPr="0078384F">
              <w:rPr>
                <w:rFonts w:ascii="Arial" w:hAnsi="Arial" w:cs="Arial"/>
                <w:sz w:val="18"/>
                <w:szCs w:val="18"/>
                <w:lang w:val="en-US"/>
              </w:rPr>
              <w:t>.</w:t>
            </w:r>
            <w:r w:rsidRPr="0078384F">
              <w:rPr>
                <w:rFonts w:ascii="Arial" w:hAnsi="Arial" w:cs="Arial"/>
                <w:sz w:val="18"/>
                <w:szCs w:val="18"/>
                <w:lang w:val="en-US"/>
              </w:rPr>
              <w:t>6</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54</w:t>
            </w:r>
            <w:r w:rsidR="0078384F" w:rsidRPr="0078384F">
              <w:rPr>
                <w:rFonts w:ascii="Arial" w:hAnsi="Arial" w:cs="Arial"/>
                <w:sz w:val="18"/>
                <w:szCs w:val="18"/>
                <w:lang w:val="en-US"/>
              </w:rPr>
              <w:t>.</w:t>
            </w:r>
            <w:r w:rsidRPr="0078384F">
              <w:rPr>
                <w:rFonts w:ascii="Arial" w:hAnsi="Arial" w:cs="Arial"/>
                <w:sz w:val="18"/>
                <w:szCs w:val="18"/>
                <w:lang w:val="en-US"/>
              </w:rPr>
              <w:t>1</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it-IT"/>
              </w:rPr>
              <w:t>+12</w:t>
            </w:r>
            <w:r w:rsidR="0078384F" w:rsidRPr="0078384F">
              <w:rPr>
                <w:rFonts w:ascii="Arial" w:hAnsi="Arial" w:cs="Arial"/>
                <w:sz w:val="18"/>
                <w:szCs w:val="18"/>
                <w:lang w:val="it-IT"/>
              </w:rPr>
              <w:t>.</w:t>
            </w:r>
            <w:r w:rsidRPr="0078384F">
              <w:rPr>
                <w:rFonts w:ascii="Arial" w:hAnsi="Arial" w:cs="Arial"/>
                <w:sz w:val="18"/>
                <w:szCs w:val="18"/>
                <w:lang w:val="it-IT"/>
              </w:rPr>
              <w:t>0%</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98</w:t>
            </w:r>
            <w:r w:rsidR="0078384F" w:rsidRPr="0078384F">
              <w:rPr>
                <w:rFonts w:ascii="Arial" w:hAnsi="Arial" w:cs="Arial"/>
                <w:sz w:val="18"/>
                <w:szCs w:val="18"/>
                <w:lang w:val="en-US"/>
              </w:rPr>
              <w:t>.</w:t>
            </w:r>
            <w:r w:rsidRPr="0078384F">
              <w:rPr>
                <w:rFonts w:ascii="Arial" w:hAnsi="Arial" w:cs="Arial"/>
                <w:sz w:val="18"/>
                <w:szCs w:val="18"/>
                <w:lang w:val="en-US"/>
              </w:rPr>
              <w:t>7</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89</w:t>
            </w:r>
            <w:r w:rsidR="0078384F" w:rsidRPr="0078384F">
              <w:rPr>
                <w:rFonts w:ascii="Arial" w:hAnsi="Arial" w:cs="Arial"/>
                <w:sz w:val="18"/>
                <w:szCs w:val="18"/>
                <w:lang w:val="en-US"/>
              </w:rPr>
              <w:t>.</w:t>
            </w:r>
            <w:r w:rsidRPr="0078384F">
              <w:rPr>
                <w:rFonts w:ascii="Arial" w:hAnsi="Arial" w:cs="Arial"/>
                <w:sz w:val="18"/>
                <w:szCs w:val="18"/>
                <w:lang w:val="en-US"/>
              </w:rPr>
              <w:t>2</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+10</w:t>
            </w:r>
            <w:r w:rsidR="0078384F" w:rsidRPr="0078384F">
              <w:rPr>
                <w:rFonts w:ascii="Arial" w:hAnsi="Arial" w:cs="Arial"/>
                <w:sz w:val="18"/>
                <w:szCs w:val="18"/>
                <w:lang w:val="it-IT"/>
              </w:rPr>
              <w:t>.</w:t>
            </w:r>
            <w:r w:rsidRPr="0078384F">
              <w:rPr>
                <w:rFonts w:ascii="Arial" w:hAnsi="Arial" w:cs="Arial"/>
                <w:sz w:val="18"/>
                <w:szCs w:val="18"/>
                <w:lang w:val="it-IT"/>
              </w:rPr>
              <w:t>7%</w:t>
            </w:r>
          </w:p>
        </w:tc>
      </w:tr>
      <w:tr w:rsidR="00D6203C" w:rsidRPr="0078384F" w:rsidTr="007B067E">
        <w:trPr>
          <w:trHeight w:val="284"/>
        </w:trPr>
        <w:tc>
          <w:tcPr>
            <w:tcW w:w="2948" w:type="dxa"/>
            <w:vAlign w:val="center"/>
          </w:tcPr>
          <w:p w:rsidR="00D6203C" w:rsidRPr="0078384F" w:rsidRDefault="00D6203C" w:rsidP="00433392">
            <w:pPr>
              <w:tabs>
                <w:tab w:val="left" w:pos="8505"/>
              </w:tabs>
              <w:rPr>
                <w:rFonts w:ascii="Arial" w:hAnsi="Arial"/>
                <w:sz w:val="18"/>
                <w:lang w:val="en-GB"/>
              </w:rPr>
            </w:pPr>
            <w:r w:rsidRPr="0078384F">
              <w:rPr>
                <w:rFonts w:ascii="Arial" w:hAnsi="Arial"/>
                <w:sz w:val="18"/>
                <w:lang w:val="en-GB"/>
              </w:rPr>
              <w:t>Equity ratio [%]</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34</w:t>
            </w:r>
            <w:r w:rsidR="0078384F" w:rsidRPr="0078384F">
              <w:rPr>
                <w:rFonts w:ascii="Arial" w:hAnsi="Arial" w:cs="Arial"/>
                <w:sz w:val="18"/>
                <w:szCs w:val="18"/>
                <w:lang w:val="en-US"/>
              </w:rPr>
              <w:t>.</w:t>
            </w:r>
            <w:r w:rsidRPr="0078384F">
              <w:rPr>
                <w:rFonts w:ascii="Arial" w:hAnsi="Arial" w:cs="Arial"/>
                <w:sz w:val="18"/>
                <w:szCs w:val="18"/>
                <w:lang w:val="en-US"/>
              </w:rPr>
              <w:t>5</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33</w:t>
            </w:r>
            <w:r w:rsidR="0078384F" w:rsidRPr="0078384F">
              <w:rPr>
                <w:rFonts w:ascii="Arial" w:hAnsi="Arial" w:cs="Arial"/>
                <w:sz w:val="18"/>
                <w:szCs w:val="18"/>
                <w:lang w:val="en-US"/>
              </w:rPr>
              <w:t>.</w:t>
            </w:r>
            <w:r w:rsidRPr="0078384F">
              <w:rPr>
                <w:rFonts w:ascii="Arial" w:hAnsi="Arial" w:cs="Arial"/>
                <w:sz w:val="18"/>
                <w:szCs w:val="18"/>
                <w:lang w:val="en-US"/>
              </w:rPr>
              <w:t>4</w:t>
            </w:r>
          </w:p>
        </w:tc>
        <w:tc>
          <w:tcPr>
            <w:tcW w:w="804" w:type="dxa"/>
            <w:tcMar>
              <w:left w:w="28" w:type="dxa"/>
              <w:right w:w="28" w:type="dxa"/>
            </w:tcMar>
            <w:vAlign w:val="center"/>
          </w:tcPr>
          <w:p w:rsidR="00D6203C" w:rsidRPr="0078384F" w:rsidRDefault="00D6203C" w:rsidP="00825ECC">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it-IT"/>
              </w:rPr>
              <w:t>---</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34</w:t>
            </w:r>
            <w:r w:rsidR="0078384F" w:rsidRPr="0078384F">
              <w:rPr>
                <w:rFonts w:ascii="Arial" w:hAnsi="Arial" w:cs="Arial"/>
                <w:sz w:val="18"/>
                <w:szCs w:val="18"/>
                <w:lang w:val="en-US"/>
              </w:rPr>
              <w:t>.</w:t>
            </w:r>
            <w:r w:rsidRPr="0078384F">
              <w:rPr>
                <w:rFonts w:ascii="Arial" w:hAnsi="Arial" w:cs="Arial"/>
                <w:sz w:val="18"/>
                <w:szCs w:val="18"/>
                <w:lang w:val="en-US"/>
              </w:rPr>
              <w:t>5</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33</w:t>
            </w:r>
            <w:r w:rsidR="0078384F" w:rsidRPr="0078384F">
              <w:rPr>
                <w:rFonts w:ascii="Arial" w:hAnsi="Arial" w:cs="Arial"/>
                <w:sz w:val="18"/>
                <w:szCs w:val="18"/>
                <w:lang w:val="en-US"/>
              </w:rPr>
              <w:t>.</w:t>
            </w:r>
            <w:r w:rsidRPr="0078384F">
              <w:rPr>
                <w:rFonts w:ascii="Arial" w:hAnsi="Arial" w:cs="Arial"/>
                <w:sz w:val="18"/>
                <w:szCs w:val="18"/>
                <w:lang w:val="en-US"/>
              </w:rPr>
              <w:t>4</w:t>
            </w:r>
          </w:p>
        </w:tc>
        <w:tc>
          <w:tcPr>
            <w:tcW w:w="804" w:type="dxa"/>
            <w:tcMar>
              <w:left w:w="28" w:type="dxa"/>
              <w:right w:w="28" w:type="dxa"/>
            </w:tcMar>
            <w:vAlign w:val="center"/>
          </w:tcPr>
          <w:p w:rsidR="00D6203C" w:rsidRPr="0078384F" w:rsidRDefault="00D6203C" w:rsidP="00825ECC">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w:t>
            </w:r>
          </w:p>
        </w:tc>
      </w:tr>
      <w:tr w:rsidR="00D6203C" w:rsidRPr="0078384F" w:rsidTr="007B067E">
        <w:trPr>
          <w:trHeight w:val="284"/>
        </w:trPr>
        <w:tc>
          <w:tcPr>
            <w:tcW w:w="2948" w:type="dxa"/>
            <w:vAlign w:val="center"/>
          </w:tcPr>
          <w:p w:rsidR="00D6203C" w:rsidRPr="0078384F" w:rsidRDefault="00D6203C" w:rsidP="00433392">
            <w:pPr>
              <w:tabs>
                <w:tab w:val="left" w:pos="8505"/>
              </w:tabs>
              <w:rPr>
                <w:lang w:val="en-US"/>
              </w:rPr>
            </w:pPr>
            <w:r w:rsidRPr="0078384F">
              <w:rPr>
                <w:rFonts w:ascii="Arial" w:hAnsi="Arial"/>
                <w:sz w:val="18"/>
                <w:lang w:val="en-GB"/>
              </w:rPr>
              <w:t>Earnings per share [€]</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1</w:t>
            </w:r>
            <w:r w:rsidR="0078384F" w:rsidRPr="0078384F">
              <w:rPr>
                <w:rFonts w:ascii="Arial" w:hAnsi="Arial" w:cs="Arial"/>
                <w:sz w:val="18"/>
                <w:szCs w:val="18"/>
                <w:lang w:val="en-US"/>
              </w:rPr>
              <w:t>.</w:t>
            </w:r>
            <w:r w:rsidRPr="0078384F">
              <w:rPr>
                <w:rFonts w:ascii="Arial" w:hAnsi="Arial" w:cs="Arial"/>
                <w:sz w:val="18"/>
                <w:szCs w:val="18"/>
                <w:lang w:val="en-US"/>
              </w:rPr>
              <w:t>07</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0</w:t>
            </w:r>
            <w:r w:rsidR="0078384F" w:rsidRPr="0078384F">
              <w:rPr>
                <w:rFonts w:ascii="Arial" w:hAnsi="Arial" w:cs="Arial"/>
                <w:sz w:val="18"/>
                <w:szCs w:val="18"/>
                <w:lang w:val="en-US"/>
              </w:rPr>
              <w:t>.</w:t>
            </w:r>
            <w:r w:rsidRPr="0078384F">
              <w:rPr>
                <w:rFonts w:ascii="Arial" w:hAnsi="Arial" w:cs="Arial"/>
                <w:sz w:val="18"/>
                <w:szCs w:val="18"/>
                <w:lang w:val="en-US"/>
              </w:rPr>
              <w:t>91</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it-IT"/>
              </w:rPr>
              <w:t>+17</w:t>
            </w:r>
            <w:r w:rsidR="0078384F" w:rsidRPr="0078384F">
              <w:rPr>
                <w:rFonts w:ascii="Arial" w:hAnsi="Arial" w:cs="Arial"/>
                <w:sz w:val="18"/>
                <w:szCs w:val="18"/>
                <w:lang w:val="it-IT"/>
              </w:rPr>
              <w:t>.</w:t>
            </w:r>
            <w:r w:rsidRPr="0078384F">
              <w:rPr>
                <w:rFonts w:ascii="Arial" w:hAnsi="Arial" w:cs="Arial"/>
                <w:sz w:val="18"/>
                <w:szCs w:val="18"/>
                <w:lang w:val="it-IT"/>
              </w:rPr>
              <w:t>6%</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1</w:t>
            </w:r>
            <w:r w:rsidR="0078384F" w:rsidRPr="0078384F">
              <w:rPr>
                <w:rFonts w:ascii="Arial" w:hAnsi="Arial" w:cs="Arial"/>
                <w:sz w:val="18"/>
                <w:szCs w:val="18"/>
                <w:lang w:val="en-US"/>
              </w:rPr>
              <w:t>.</w:t>
            </w:r>
            <w:r w:rsidRPr="0078384F">
              <w:rPr>
                <w:rFonts w:ascii="Arial" w:hAnsi="Arial" w:cs="Arial"/>
                <w:sz w:val="18"/>
                <w:szCs w:val="18"/>
                <w:lang w:val="en-US"/>
              </w:rPr>
              <w:t>58</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1</w:t>
            </w:r>
            <w:r w:rsidR="0078384F" w:rsidRPr="0078384F">
              <w:rPr>
                <w:rFonts w:ascii="Arial" w:hAnsi="Arial" w:cs="Arial"/>
                <w:sz w:val="18"/>
                <w:szCs w:val="18"/>
                <w:lang w:val="en-US"/>
              </w:rPr>
              <w:t>.</w:t>
            </w:r>
            <w:r w:rsidRPr="0078384F">
              <w:rPr>
                <w:rFonts w:ascii="Arial" w:hAnsi="Arial" w:cs="Arial"/>
                <w:sz w:val="18"/>
                <w:szCs w:val="18"/>
                <w:lang w:val="en-US"/>
              </w:rPr>
              <w:t>87</w:t>
            </w:r>
          </w:p>
        </w:tc>
        <w:tc>
          <w:tcPr>
            <w:tcW w:w="804" w:type="dxa"/>
            <w:tcMar>
              <w:left w:w="28" w:type="dxa"/>
              <w:right w:w="28" w:type="dxa"/>
            </w:tcMar>
            <w:vAlign w:val="center"/>
          </w:tcPr>
          <w:p w:rsidR="00D6203C" w:rsidRPr="0078384F" w:rsidRDefault="0078384F"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w:t>
            </w:r>
            <w:r w:rsidR="00D6203C" w:rsidRPr="0078384F">
              <w:rPr>
                <w:rFonts w:ascii="Arial" w:hAnsi="Arial" w:cs="Arial"/>
                <w:sz w:val="18"/>
                <w:szCs w:val="18"/>
                <w:lang w:val="it-IT"/>
              </w:rPr>
              <w:t>15</w:t>
            </w:r>
            <w:r w:rsidRPr="0078384F">
              <w:rPr>
                <w:rFonts w:ascii="Arial" w:hAnsi="Arial" w:cs="Arial"/>
                <w:sz w:val="18"/>
                <w:szCs w:val="18"/>
                <w:lang w:val="it-IT"/>
              </w:rPr>
              <w:t>.</w:t>
            </w:r>
            <w:r w:rsidR="00D6203C" w:rsidRPr="0078384F">
              <w:rPr>
                <w:rFonts w:ascii="Arial" w:hAnsi="Arial" w:cs="Arial"/>
                <w:sz w:val="18"/>
                <w:szCs w:val="18"/>
                <w:lang w:val="it-IT"/>
              </w:rPr>
              <w:t>5</w:t>
            </w:r>
            <w:r w:rsidRPr="0078384F">
              <w:rPr>
                <w:rFonts w:ascii="Arial" w:hAnsi="Arial" w:cs="Arial"/>
                <w:sz w:val="18"/>
                <w:szCs w:val="18"/>
                <w:lang w:val="it-IT"/>
              </w:rPr>
              <w:t>)</w:t>
            </w:r>
            <w:r w:rsidR="00D6203C" w:rsidRPr="0078384F">
              <w:rPr>
                <w:rFonts w:ascii="Arial" w:hAnsi="Arial" w:cs="Arial"/>
                <w:sz w:val="18"/>
                <w:szCs w:val="18"/>
                <w:lang w:val="it-IT"/>
              </w:rPr>
              <w:t>%</w:t>
            </w:r>
          </w:p>
        </w:tc>
      </w:tr>
      <w:tr w:rsidR="00D6203C" w:rsidRPr="0078384F" w:rsidTr="007B067E">
        <w:trPr>
          <w:trHeight w:val="284"/>
        </w:trPr>
        <w:tc>
          <w:tcPr>
            <w:tcW w:w="2948" w:type="dxa"/>
            <w:vAlign w:val="center"/>
          </w:tcPr>
          <w:p w:rsidR="00D6203C" w:rsidRPr="0078384F" w:rsidRDefault="00D6203C" w:rsidP="00B84EE5">
            <w:pPr>
              <w:tabs>
                <w:tab w:val="left" w:pos="8505"/>
              </w:tabs>
              <w:rPr>
                <w:lang w:val="en-US"/>
              </w:rPr>
            </w:pPr>
            <w:r w:rsidRPr="0078384F">
              <w:rPr>
                <w:rFonts w:ascii="Arial" w:hAnsi="Arial"/>
                <w:sz w:val="18"/>
                <w:lang w:val="en-GB"/>
              </w:rPr>
              <w:t>Employees [as at 30 June]</w:t>
            </w:r>
          </w:p>
        </w:tc>
        <w:tc>
          <w:tcPr>
            <w:tcW w:w="803" w:type="dxa"/>
            <w:noWrap/>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71</w:t>
            </w:r>
            <w:r w:rsidR="0078384F" w:rsidRPr="0078384F">
              <w:rPr>
                <w:rFonts w:ascii="Arial" w:hAnsi="Arial" w:cs="Arial"/>
                <w:sz w:val="18"/>
                <w:szCs w:val="18"/>
                <w:lang w:val="en-US"/>
              </w:rPr>
              <w:t>,</w:t>
            </w:r>
            <w:r w:rsidRPr="0078384F">
              <w:rPr>
                <w:rFonts w:ascii="Arial" w:hAnsi="Arial" w:cs="Arial"/>
                <w:sz w:val="18"/>
                <w:szCs w:val="18"/>
                <w:lang w:val="en-US"/>
              </w:rPr>
              <w:t>987</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65</w:t>
            </w:r>
            <w:r w:rsidR="0078384F" w:rsidRPr="0078384F">
              <w:rPr>
                <w:rFonts w:ascii="Arial" w:hAnsi="Arial" w:cs="Arial"/>
                <w:sz w:val="18"/>
                <w:szCs w:val="18"/>
                <w:lang w:val="en-US"/>
              </w:rPr>
              <w:t>,</w:t>
            </w:r>
            <w:r w:rsidRPr="0078384F">
              <w:rPr>
                <w:rFonts w:ascii="Arial" w:hAnsi="Arial" w:cs="Arial"/>
                <w:sz w:val="18"/>
                <w:szCs w:val="18"/>
                <w:lang w:val="en-US"/>
              </w:rPr>
              <w:t>571</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it-IT"/>
              </w:rPr>
              <w:t>+9</w:t>
            </w:r>
            <w:r w:rsidR="0078384F" w:rsidRPr="0078384F">
              <w:rPr>
                <w:rFonts w:ascii="Arial" w:hAnsi="Arial" w:cs="Arial"/>
                <w:sz w:val="18"/>
                <w:szCs w:val="18"/>
                <w:lang w:val="it-IT"/>
              </w:rPr>
              <w:t>.</w:t>
            </w:r>
            <w:r w:rsidRPr="0078384F">
              <w:rPr>
                <w:rFonts w:ascii="Arial" w:hAnsi="Arial" w:cs="Arial"/>
                <w:sz w:val="18"/>
                <w:szCs w:val="18"/>
                <w:lang w:val="it-IT"/>
              </w:rPr>
              <w:t>8%</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71</w:t>
            </w:r>
            <w:r w:rsidR="0078384F" w:rsidRPr="0078384F">
              <w:rPr>
                <w:rFonts w:ascii="Arial" w:hAnsi="Arial" w:cs="Arial"/>
                <w:sz w:val="18"/>
                <w:szCs w:val="18"/>
                <w:lang w:val="en-US"/>
              </w:rPr>
              <w:t>,</w:t>
            </w:r>
            <w:r w:rsidRPr="0078384F">
              <w:rPr>
                <w:rFonts w:ascii="Arial" w:hAnsi="Arial" w:cs="Arial"/>
                <w:sz w:val="18"/>
                <w:szCs w:val="18"/>
                <w:lang w:val="en-US"/>
              </w:rPr>
              <w:t>987</w:t>
            </w:r>
          </w:p>
        </w:tc>
        <w:tc>
          <w:tcPr>
            <w:tcW w:w="803"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en-US"/>
              </w:rPr>
            </w:pPr>
            <w:r w:rsidRPr="0078384F">
              <w:rPr>
                <w:rFonts w:ascii="Arial" w:hAnsi="Arial" w:cs="Arial"/>
                <w:sz w:val="18"/>
                <w:szCs w:val="18"/>
                <w:lang w:val="en-US"/>
              </w:rPr>
              <w:t>65</w:t>
            </w:r>
            <w:r w:rsidR="0078384F" w:rsidRPr="0078384F">
              <w:rPr>
                <w:rFonts w:ascii="Arial" w:hAnsi="Arial" w:cs="Arial"/>
                <w:sz w:val="18"/>
                <w:szCs w:val="18"/>
                <w:lang w:val="en-US"/>
              </w:rPr>
              <w:t>,</w:t>
            </w:r>
            <w:r w:rsidRPr="0078384F">
              <w:rPr>
                <w:rFonts w:ascii="Arial" w:hAnsi="Arial" w:cs="Arial"/>
                <w:sz w:val="18"/>
                <w:szCs w:val="18"/>
                <w:lang w:val="en-US"/>
              </w:rPr>
              <w:t>571</w:t>
            </w:r>
          </w:p>
        </w:tc>
        <w:tc>
          <w:tcPr>
            <w:tcW w:w="804" w:type="dxa"/>
            <w:tcMar>
              <w:left w:w="28" w:type="dxa"/>
              <w:right w:w="28" w:type="dxa"/>
            </w:tcMar>
            <w:vAlign w:val="center"/>
          </w:tcPr>
          <w:p w:rsidR="00D6203C" w:rsidRPr="0078384F" w:rsidRDefault="00D6203C" w:rsidP="0078384F">
            <w:pPr>
              <w:tabs>
                <w:tab w:val="left" w:pos="8505"/>
              </w:tabs>
              <w:spacing w:line="276" w:lineRule="auto"/>
              <w:jc w:val="center"/>
              <w:rPr>
                <w:rFonts w:ascii="Arial" w:hAnsi="Arial" w:cs="Arial"/>
                <w:sz w:val="18"/>
                <w:szCs w:val="18"/>
                <w:lang w:val="it-IT"/>
              </w:rPr>
            </w:pPr>
            <w:r w:rsidRPr="0078384F">
              <w:rPr>
                <w:rFonts w:ascii="Arial" w:hAnsi="Arial" w:cs="Arial"/>
                <w:sz w:val="18"/>
                <w:szCs w:val="18"/>
                <w:lang w:val="it-IT"/>
              </w:rPr>
              <w:t>+9</w:t>
            </w:r>
            <w:r w:rsidR="0078384F" w:rsidRPr="0078384F">
              <w:rPr>
                <w:rFonts w:ascii="Arial" w:hAnsi="Arial" w:cs="Arial"/>
                <w:sz w:val="18"/>
                <w:szCs w:val="18"/>
                <w:lang w:val="it-IT"/>
              </w:rPr>
              <w:t>.</w:t>
            </w:r>
            <w:r w:rsidRPr="0078384F">
              <w:rPr>
                <w:rFonts w:ascii="Arial" w:hAnsi="Arial" w:cs="Arial"/>
                <w:sz w:val="18"/>
                <w:szCs w:val="18"/>
                <w:lang w:val="it-IT"/>
              </w:rPr>
              <w:t>8%</w:t>
            </w:r>
          </w:p>
        </w:tc>
      </w:tr>
    </w:tbl>
    <w:p w:rsidR="00F86DEB" w:rsidRPr="00B84EE5" w:rsidRDefault="00F86DEB" w:rsidP="00744F2F">
      <w:pPr>
        <w:ind w:right="1922"/>
        <w:rPr>
          <w:rFonts w:ascii="Arial" w:hAnsi="Arial" w:cs="Arial"/>
          <w:i/>
          <w:sz w:val="16"/>
          <w:szCs w:val="16"/>
          <w:lang w:val="en-GB"/>
        </w:rPr>
      </w:pPr>
    </w:p>
    <w:p w:rsidR="00B84EE5" w:rsidRPr="007F08F8" w:rsidRDefault="00B84EE5" w:rsidP="00B84EE5">
      <w:pPr>
        <w:autoSpaceDE w:val="0"/>
        <w:autoSpaceDN w:val="0"/>
        <w:adjustRightInd w:val="0"/>
        <w:ind w:right="1852"/>
        <w:rPr>
          <w:rFonts w:ascii="Arial" w:hAnsi="Arial"/>
          <w:lang w:val="en-US"/>
        </w:rPr>
      </w:pPr>
      <w:r w:rsidRPr="008D4891">
        <w:rPr>
          <w:rFonts w:ascii="Arial" w:hAnsi="Arial"/>
          <w:i/>
          <w:sz w:val="16"/>
          <w:lang w:val="en-GB"/>
        </w:rPr>
        <w:t>* Earnings adjusted for the impact of revaluation as part of allocating th</w:t>
      </w:r>
      <w:r w:rsidR="00787B3E">
        <w:rPr>
          <w:rFonts w:ascii="Arial" w:hAnsi="Arial"/>
          <w:i/>
          <w:sz w:val="16"/>
          <w:lang w:val="en-GB"/>
        </w:rPr>
        <w:t>e prices of major acquisitions, r</w:t>
      </w:r>
      <w:r w:rsidRPr="008D4891">
        <w:rPr>
          <w:rFonts w:ascii="Arial" w:hAnsi="Arial"/>
          <w:i/>
          <w:sz w:val="16"/>
          <w:lang w:val="en-GB"/>
        </w:rPr>
        <w:t xml:space="preserve">estructuring, </w:t>
      </w:r>
      <w:proofErr w:type="gramStart"/>
      <w:r w:rsidRPr="008D4891">
        <w:rPr>
          <w:rFonts w:ascii="Arial" w:hAnsi="Arial"/>
          <w:i/>
          <w:sz w:val="16"/>
          <w:lang w:val="en-GB"/>
        </w:rPr>
        <w:t>impairment</w:t>
      </w:r>
      <w:proofErr w:type="gramEnd"/>
      <w:r w:rsidRPr="008D4891">
        <w:rPr>
          <w:rFonts w:ascii="Arial" w:hAnsi="Arial"/>
          <w:i/>
          <w:sz w:val="16"/>
          <w:lang w:val="en-GB"/>
        </w:rPr>
        <w:t xml:space="preserve"> of non-current assets, gains on business disposals and </w:t>
      </w:r>
      <w:r>
        <w:rPr>
          <w:rFonts w:ascii="Arial" w:hAnsi="Arial"/>
          <w:i/>
          <w:sz w:val="16"/>
          <w:lang w:val="en-GB"/>
        </w:rPr>
        <w:t xml:space="preserve">on business </w:t>
      </w:r>
      <w:r w:rsidRPr="008D4891">
        <w:rPr>
          <w:rFonts w:ascii="Arial" w:hAnsi="Arial"/>
          <w:i/>
          <w:sz w:val="16"/>
          <w:lang w:val="en-GB"/>
        </w:rPr>
        <w:t>combinations including related derivatives</w:t>
      </w:r>
      <w:r>
        <w:rPr>
          <w:rFonts w:ascii="Arial" w:hAnsi="Arial"/>
          <w:i/>
          <w:sz w:val="16"/>
          <w:lang w:val="en-US"/>
        </w:rPr>
        <w:t>.</w:t>
      </w:r>
    </w:p>
    <w:p w:rsidR="00B84EE5" w:rsidRPr="00D6203C" w:rsidRDefault="00B84EE5" w:rsidP="00B84EE5">
      <w:pPr>
        <w:spacing w:before="240"/>
        <w:ind w:right="1854"/>
        <w:rPr>
          <w:rFonts w:ascii="Arial" w:hAnsi="Arial"/>
          <w:i/>
          <w:sz w:val="22"/>
          <w:szCs w:val="22"/>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Pr="00D6203C">
        <w:rPr>
          <w:rFonts w:ascii="Arial" w:hAnsi="Arial"/>
          <w:i/>
          <w:sz w:val="22"/>
          <w:szCs w:val="22"/>
          <w:lang w:val="en-GB"/>
        </w:rPr>
        <w:t xml:space="preserve">Related illustration material can be downloaded </w:t>
      </w:r>
      <w:r w:rsidR="00404C26" w:rsidRPr="00D6203C">
        <w:rPr>
          <w:rFonts w:ascii="Arial" w:hAnsi="Arial"/>
          <w:i/>
          <w:sz w:val="22"/>
          <w:szCs w:val="22"/>
          <w:lang w:val="en-GB"/>
        </w:rPr>
        <w:t>next to this release at</w:t>
      </w:r>
      <w:r w:rsidRPr="00D6203C">
        <w:rPr>
          <w:rFonts w:ascii="Arial" w:hAnsi="Arial"/>
          <w:i/>
          <w:sz w:val="22"/>
          <w:szCs w:val="22"/>
          <w:lang w:val="en-GB"/>
        </w:rPr>
        <w:t xml:space="preserve"> </w:t>
      </w:r>
      <w:hyperlink r:id="rId9" w:history="1">
        <w:r w:rsidR="0078384F" w:rsidRPr="0078384F">
          <w:rPr>
            <w:rStyle w:val="Hyperlink"/>
            <w:rFonts w:ascii="Arial" w:hAnsi="Arial"/>
            <w:i/>
            <w:sz w:val="22"/>
            <w:szCs w:val="22"/>
            <w:lang w:val="en-GB"/>
          </w:rPr>
          <w:t>www.leoni.com/en/press/releases/details/leonis-sales-and-earnings-up-in-the-second-quarter-of-2015/</w:t>
        </w:r>
      </w:hyperlink>
      <w:r w:rsidRPr="00C85271">
        <w:rPr>
          <w:rFonts w:ascii="Arial" w:hAnsi="Arial"/>
          <w:i/>
          <w:sz w:val="21"/>
          <w:lang w:val="en-GB"/>
        </w:rPr>
        <w:t xml:space="preserv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D6203C">
        <w:rPr>
          <w:rFonts w:ascii="Arial" w:hAnsi="Arial"/>
          <w:i/>
          <w:sz w:val="22"/>
          <w:szCs w:val="22"/>
          <w:lang w:val="en-GB"/>
        </w:rPr>
        <w:t>The</w:t>
      </w:r>
      <w:proofErr w:type="gramEnd"/>
      <w:r w:rsidRPr="00D6203C">
        <w:rPr>
          <w:rFonts w:ascii="Arial" w:hAnsi="Arial"/>
          <w:i/>
          <w:sz w:val="22"/>
          <w:szCs w:val="22"/>
          <w:lang w:val="en-GB"/>
        </w:rPr>
        <w:t xml:space="preserve"> complete quarterly report can be found at </w:t>
      </w:r>
      <w:r w:rsidR="00327D2D" w:rsidRPr="00D6203C">
        <w:rPr>
          <w:rFonts w:ascii="Arial" w:hAnsi="Arial"/>
          <w:i/>
          <w:sz w:val="22"/>
          <w:szCs w:val="22"/>
          <w:lang w:val="en-GB"/>
        </w:rPr>
        <w:br/>
      </w:r>
      <w:hyperlink r:id="rId10" w:history="1">
        <w:r w:rsidR="00404C26" w:rsidRPr="00D6203C">
          <w:rPr>
            <w:rStyle w:val="Hyperlink"/>
            <w:rFonts w:ascii="Arial" w:hAnsi="Arial"/>
            <w:i/>
            <w:sz w:val="22"/>
            <w:szCs w:val="22"/>
            <w:lang w:val="en-GB"/>
          </w:rPr>
          <w:t>www.leoni.com/en/financial-publications/</w:t>
        </w:r>
      </w:hyperlink>
    </w:p>
    <w:p w:rsidR="00F76833" w:rsidRPr="00C85271" w:rsidRDefault="00F76833" w:rsidP="0019023D">
      <w:pPr>
        <w:pStyle w:val="MMKurzprofilberschrift"/>
        <w:rPr>
          <w:lang w:val="en-GB"/>
        </w:rPr>
      </w:pPr>
      <w:r w:rsidRPr="00C85271">
        <w:rPr>
          <w:lang w:val="en-GB"/>
        </w:rPr>
        <w:t>About the Leoni Group</w:t>
      </w:r>
    </w:p>
    <w:p w:rsidR="00F76833" w:rsidRDefault="00F76833" w:rsidP="005712FF">
      <w:pPr>
        <w:pStyle w:val="MMKurzprofil"/>
        <w:spacing w:after="120"/>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D6203C">
        <w:rPr>
          <w:lang w:val="en-GB"/>
        </w:rPr>
        <w:t>72</w:t>
      </w:r>
      <w:r w:rsidRPr="00C85271">
        <w:rPr>
          <w:lang w:val="en-GB"/>
        </w:rPr>
        <w:t>,000 people in 3</w:t>
      </w:r>
      <w:r w:rsidR="00D6203C">
        <w:rPr>
          <w:lang w:val="en-GB"/>
        </w:rPr>
        <w:t>1</w:t>
      </w:r>
      <w:r w:rsidRPr="00C85271">
        <w:rPr>
          <w:lang w:val="en-GB"/>
        </w:rPr>
        <w:t xml:space="preserve"> countries </w:t>
      </w:r>
      <w:r w:rsidR="006C41D1" w:rsidRPr="00C85271">
        <w:rPr>
          <w:lang w:val="en-GB"/>
        </w:rPr>
        <w:t xml:space="preserve">and generated consolidated sales of </w:t>
      </w:r>
      <w:r w:rsidR="006C41D1" w:rsidRPr="00B572CD">
        <w:rPr>
          <w:lang w:val="en-US"/>
        </w:rPr>
        <w:t xml:space="preserve">EUR </w:t>
      </w:r>
      <w:r w:rsidR="00D6203C">
        <w:rPr>
          <w:lang w:val="en-US"/>
        </w:rPr>
        <w:t>4.1</w:t>
      </w:r>
      <w:r w:rsidR="006C41D1" w:rsidRPr="00B572CD">
        <w:rPr>
          <w:lang w:val="en-US"/>
        </w:rPr>
        <w:t xml:space="preserve"> billion in 201</w:t>
      </w:r>
      <w:r w:rsidR="00D6203C">
        <w:rPr>
          <w:lang w:val="en-US"/>
        </w:rPr>
        <w:t>4</w:t>
      </w:r>
      <w:r>
        <w:rPr>
          <w:lang w:val="en-US"/>
        </w:rPr>
        <w:t>.</w:t>
      </w:r>
    </w:p>
    <w:p w:rsidR="00B351E3" w:rsidRPr="00541D3C" w:rsidRDefault="001B61BA" w:rsidP="00744F2F">
      <w:pPr>
        <w:pStyle w:val="MMKurzprofil"/>
        <w:rPr>
          <w:lang w:val="en-US"/>
        </w:rPr>
      </w:pPr>
      <w:hyperlink r:id="rId11" w:tgtFrame="_blank" w:history="1">
        <w:r w:rsidR="008F04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2" o:title=""/>
            </v:shape>
          </w:pict>
        </w:r>
      </w:hyperlink>
      <w:r w:rsidR="00B351E3" w:rsidRPr="00541D3C">
        <w:rPr>
          <w:noProof/>
          <w:lang w:val="en-US"/>
        </w:rPr>
        <w:t xml:space="preserve"> </w:t>
      </w:r>
      <w:hyperlink r:id="rId13" w:tgtFrame="_blank" w:history="1">
        <w:r w:rsidR="008F04A4">
          <w:pict>
            <v:shape id="_x0000_i1026" type="#_x0000_t75" style="width:14.25pt;height:14.25pt" wrapcoords="-1137 0 -1137 20463 21600 20463 21600 0 -1137 0" o:allowoverlap="f" o:button="t">
              <v:imagedata r:id="rId14" o:title=""/>
            </v:shape>
          </w:pict>
        </w:r>
      </w:hyperlink>
    </w:p>
    <w:p w:rsidR="00B351E3" w:rsidRPr="00541D3C" w:rsidRDefault="00B351E3" w:rsidP="0019023D">
      <w:pPr>
        <w:pStyle w:val="MMKurzprofilberschrift"/>
        <w:rPr>
          <w:lang w:val="en-US"/>
        </w:rPr>
        <w:sectPr w:rsidR="00B351E3" w:rsidRPr="00541D3C">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744F2F" w:rsidRPr="00C85271" w:rsidRDefault="00744F2F" w:rsidP="0019023D">
      <w:pPr>
        <w:pStyle w:val="MMKurzprofilberschrift"/>
        <w:rPr>
          <w:lang w:val="en-GB"/>
        </w:rPr>
      </w:pPr>
      <w:r w:rsidRPr="00C85271">
        <w:rPr>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9" w:history="1">
        <w:r w:rsidRPr="00C85271">
          <w:rPr>
            <w:rStyle w:val="Hyperlink"/>
            <w:rFonts w:cs="Times New Roman"/>
            <w:szCs w:val="24"/>
            <w:lang w:val="en-GB"/>
          </w:rPr>
          <w:t>presse@leoni.com</w:t>
        </w:r>
      </w:hyperlink>
    </w:p>
    <w:sectPr w:rsidR="00744F2F" w:rsidRPr="00744F2F" w:rsidSect="00744F2F">
      <w:headerReference w:type="default" r:id="rId20"/>
      <w:footerReference w:type="default" r:id="rId21"/>
      <w:headerReference w:type="first" r:id="rId22"/>
      <w:footerReference w:type="first" r:id="rId23"/>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1B61BA">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1B61BA">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78384F">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1B61BA">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1B61BA">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2744E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1B61BA">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1B61BA" w:rsidP="00F65C50">
    <w:pPr>
      <w:pStyle w:val="Kopfzeile"/>
      <w:tabs>
        <w:tab w:val="clear" w:pos="9072"/>
        <w:tab w:val="right" w:pos="9639"/>
      </w:tabs>
      <w:rPr>
        <w:rFonts w:ascii="Verdana" w:hAnsi="Verdana"/>
        <w:sz w:val="20"/>
      </w:rPr>
    </w:pPr>
  </w:p>
  <w:p w:rsidR="008F37D5" w:rsidRDefault="001B61BA" w:rsidP="00F65C50">
    <w:pPr>
      <w:pStyle w:val="Kopfzeile"/>
      <w:tabs>
        <w:tab w:val="clear" w:pos="9072"/>
        <w:tab w:val="right" w:pos="9639"/>
      </w:tabs>
      <w:rPr>
        <w:rFonts w:ascii="Verdana" w:hAnsi="Verdana"/>
        <w:sz w:val="20"/>
      </w:rPr>
    </w:pPr>
  </w:p>
  <w:p w:rsidR="008F37D5" w:rsidRPr="00F17738" w:rsidRDefault="001B61BA"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1B61BA"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1B61BA">
    <w:pPr>
      <w:pStyle w:val="Kopfzeile"/>
      <w:tabs>
        <w:tab w:val="clear" w:pos="9072"/>
        <w:tab w:val="right" w:pos="9639"/>
      </w:tabs>
      <w:rPr>
        <w:rFonts w:ascii="Verdana" w:hAnsi="Verdana"/>
        <w:sz w:val="20"/>
      </w:rPr>
    </w:pPr>
  </w:p>
  <w:p w:rsidR="008F37D5" w:rsidRDefault="001B61BA">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p w:rsidR="008F37D5" w:rsidRDefault="001B61BA">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3345"/>
    <w:rsid w:val="000453F9"/>
    <w:rsid w:val="00083B36"/>
    <w:rsid w:val="000A0822"/>
    <w:rsid w:val="000A1974"/>
    <w:rsid w:val="000A32BC"/>
    <w:rsid w:val="000A7B89"/>
    <w:rsid w:val="000B3BF8"/>
    <w:rsid w:val="000B470A"/>
    <w:rsid w:val="000B5865"/>
    <w:rsid w:val="000C02B1"/>
    <w:rsid w:val="000D1D02"/>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9023D"/>
    <w:rsid w:val="001A26F1"/>
    <w:rsid w:val="001B61BA"/>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44E1"/>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27D2D"/>
    <w:rsid w:val="00361CF2"/>
    <w:rsid w:val="00362050"/>
    <w:rsid w:val="003627B5"/>
    <w:rsid w:val="00364DCD"/>
    <w:rsid w:val="00382198"/>
    <w:rsid w:val="00397A3F"/>
    <w:rsid w:val="00397AC4"/>
    <w:rsid w:val="003C6AAE"/>
    <w:rsid w:val="003D2799"/>
    <w:rsid w:val="003E43B4"/>
    <w:rsid w:val="003E4B96"/>
    <w:rsid w:val="003F74D0"/>
    <w:rsid w:val="00404468"/>
    <w:rsid w:val="00404C26"/>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287E"/>
    <w:rsid w:val="00533F65"/>
    <w:rsid w:val="005346BE"/>
    <w:rsid w:val="00541D3C"/>
    <w:rsid w:val="00543110"/>
    <w:rsid w:val="00543C34"/>
    <w:rsid w:val="005448AB"/>
    <w:rsid w:val="00547D6D"/>
    <w:rsid w:val="005712FF"/>
    <w:rsid w:val="005A1926"/>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57E1"/>
    <w:rsid w:val="006A76CA"/>
    <w:rsid w:val="006C41D1"/>
    <w:rsid w:val="006C508C"/>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84F"/>
    <w:rsid w:val="00783A5E"/>
    <w:rsid w:val="007864F1"/>
    <w:rsid w:val="00786FF2"/>
    <w:rsid w:val="00787B3E"/>
    <w:rsid w:val="00791E09"/>
    <w:rsid w:val="007B067E"/>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04A4"/>
    <w:rsid w:val="008F124A"/>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96A04"/>
    <w:rsid w:val="009A05EE"/>
    <w:rsid w:val="009A1070"/>
    <w:rsid w:val="009B48FF"/>
    <w:rsid w:val="009B564D"/>
    <w:rsid w:val="009C0937"/>
    <w:rsid w:val="009C6B13"/>
    <w:rsid w:val="009E1E09"/>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5C34"/>
    <w:rsid w:val="00B6724A"/>
    <w:rsid w:val="00B67561"/>
    <w:rsid w:val="00B70B1A"/>
    <w:rsid w:val="00B71C6F"/>
    <w:rsid w:val="00B84EE5"/>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251FA"/>
    <w:rsid w:val="00C30C32"/>
    <w:rsid w:val="00C4636C"/>
    <w:rsid w:val="00C63B60"/>
    <w:rsid w:val="00C6770A"/>
    <w:rsid w:val="00C70F49"/>
    <w:rsid w:val="00C7427E"/>
    <w:rsid w:val="00C900A9"/>
    <w:rsid w:val="00C96EBA"/>
    <w:rsid w:val="00CA481B"/>
    <w:rsid w:val="00CA4B57"/>
    <w:rsid w:val="00CB2F17"/>
    <w:rsid w:val="00CD7A5E"/>
    <w:rsid w:val="00CE572C"/>
    <w:rsid w:val="00D04407"/>
    <w:rsid w:val="00D112C0"/>
    <w:rsid w:val="00D1225B"/>
    <w:rsid w:val="00D15735"/>
    <w:rsid w:val="00D22ED7"/>
    <w:rsid w:val="00D2511A"/>
    <w:rsid w:val="00D413F1"/>
    <w:rsid w:val="00D47FA5"/>
    <w:rsid w:val="00D6203C"/>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7B66"/>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eoni.com/en/financial-publications/"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en/press/releases/details/leonis-sales-and-earnings-up-in-the-second-quarter-of-2015/" TargetMode="External"/><Relationship Id="rId14" Type="http://schemas.openxmlformats.org/officeDocument/2006/relationships/image" Target="media/image2.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C117-8D6F-4175-9BC7-D38EBF62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6923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Press Release</vt:lpstr>
      <vt:lpstr>Media Relations Medienmitteilungen</vt:lpstr>
    </vt:vector>
  </TitlesOfParts>
  <Manager>Sven Schmidt</Manager>
  <Company>LEONI</Company>
  <LinksUpToDate>false</LinksUpToDate>
  <CharactersWithSpaces>8005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Schmidt, Sven</cp:lastModifiedBy>
  <cp:revision>5</cp:revision>
  <cp:lastPrinted>2015-08-10T11:21:00Z</cp:lastPrinted>
  <dcterms:created xsi:type="dcterms:W3CDTF">2015-08-07T12:36:00Z</dcterms:created>
  <dcterms:modified xsi:type="dcterms:W3CDTF">2015-08-10T11:22:00Z</dcterms:modified>
</cp:coreProperties>
</file>