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6E8E" w14:textId="3F2575E7" w:rsidR="006E0029" w:rsidRPr="00441012" w:rsidRDefault="00E436DA" w:rsidP="00D47FA5">
      <w:pPr>
        <w:pStyle w:val="MMU1"/>
      </w:pPr>
      <w:bookmarkStart w:id="0" w:name="_GoBack"/>
      <w:bookmarkEnd w:id="0"/>
      <w:r>
        <w:t xml:space="preserve">Leoni </w:t>
      </w:r>
      <w:r w:rsidR="00CB52D0">
        <w:t>im 3. Quartal 2015 mit Umsatzplus, aber Ergebnisrückgang</w:t>
      </w:r>
    </w:p>
    <w:p w14:paraId="4CAC1B8C" w14:textId="77C112FF" w:rsidR="003F74D0" w:rsidRPr="006F0BE8" w:rsidRDefault="00CB52D0" w:rsidP="006F0BE8">
      <w:pPr>
        <w:pStyle w:val="MMU2"/>
      </w:pPr>
      <w:r>
        <w:t xml:space="preserve">EBIT im Gesamtjahr voraussichtlich bei </w:t>
      </w:r>
      <w:r w:rsidR="006C5B07">
        <w:t>mehr als</w:t>
      </w:r>
      <w:r>
        <w:t xml:space="preserve"> </w:t>
      </w:r>
      <w:r w:rsidRPr="006C5B07">
        <w:t>1</w:t>
      </w:r>
      <w:r w:rsidR="00D625CE" w:rsidRPr="006C5B07">
        <w:t>3</w:t>
      </w:r>
      <w:r w:rsidRPr="006C5B07">
        <w:t>0 Mio. Euro</w:t>
      </w:r>
      <w:r w:rsidR="002B4FCE">
        <w:t xml:space="preserve"> </w:t>
      </w:r>
    </w:p>
    <w:p w14:paraId="577596CD" w14:textId="4502BA52" w:rsidR="00CB52D0" w:rsidRDefault="008B1883" w:rsidP="001A0E04">
      <w:pPr>
        <w:pStyle w:val="MMVorspann"/>
      </w:pPr>
      <w:r>
        <w:t>Nürnberg</w:t>
      </w:r>
      <w:r w:rsidRPr="009A1070">
        <w:t xml:space="preserve">, </w:t>
      </w:r>
      <w:r w:rsidR="00027F25">
        <w:t>1</w:t>
      </w:r>
      <w:r w:rsidR="00CB52D0">
        <w:t>0</w:t>
      </w:r>
      <w:r w:rsidR="00E32461">
        <w:t xml:space="preserve">. </w:t>
      </w:r>
      <w:r w:rsidR="00CB52D0">
        <w:t>November</w:t>
      </w:r>
      <w:r w:rsidRPr="009A1070">
        <w:t xml:space="preserve"> 20</w:t>
      </w:r>
      <w:r>
        <w:t>1</w:t>
      </w:r>
      <w:r w:rsidR="00027F25">
        <w:t>5</w:t>
      </w:r>
      <w:r w:rsidRPr="009A1070">
        <w:t xml:space="preserve"> – </w:t>
      </w:r>
      <w:r>
        <w:t>Leoni</w:t>
      </w:r>
      <w:r w:rsidR="00CB52D0">
        <w:t>,</w:t>
      </w:r>
      <w:r w:rsidR="00420BD0">
        <w:t xml:space="preserve"> </w:t>
      </w:r>
      <w:r w:rsidR="00CB52D0">
        <w:t xml:space="preserve">der </w:t>
      </w:r>
      <w:r w:rsidR="00CB52D0" w:rsidRPr="0099285A">
        <w:t xml:space="preserve">führende </w:t>
      </w:r>
      <w:r w:rsidR="00CB52D0">
        <w:t xml:space="preserve">europäische Anbieter von </w:t>
      </w:r>
      <w:r w:rsidR="00CB52D0" w:rsidRPr="0099285A">
        <w:t>Kabel</w:t>
      </w:r>
      <w:r w:rsidR="00CB52D0">
        <w:t>n und Kabels</w:t>
      </w:r>
      <w:r w:rsidR="00CB52D0" w:rsidRPr="0099285A">
        <w:t>ystem</w:t>
      </w:r>
      <w:r w:rsidR="00CB52D0">
        <w:t>en</w:t>
      </w:r>
      <w:r w:rsidR="00CB52D0" w:rsidRPr="0099285A">
        <w:t xml:space="preserve"> für die Automobil</w:t>
      </w:r>
      <w:r w:rsidR="00CB52D0">
        <w:t>branche</w:t>
      </w:r>
      <w:r w:rsidR="00CB52D0" w:rsidRPr="0099285A">
        <w:t xml:space="preserve"> und weitere Industrien</w:t>
      </w:r>
      <w:r w:rsidR="00D963C7">
        <w:t>,</w:t>
      </w:r>
      <w:r w:rsidR="00CB52D0">
        <w:t xml:space="preserve"> steigerte seinen </w:t>
      </w:r>
      <w:r w:rsidR="00D963C7">
        <w:t>Konzernu</w:t>
      </w:r>
      <w:r w:rsidR="00CB52D0">
        <w:t>msatz im dritten Quartal 2015 gemessen am ents</w:t>
      </w:r>
      <w:r w:rsidR="00696943">
        <w:t>p</w:t>
      </w:r>
      <w:r w:rsidR="00CB52D0">
        <w:t xml:space="preserve">rechenden Vorjahreszeitraum planmäßig um </w:t>
      </w:r>
      <w:r w:rsidR="002B4FCE">
        <w:t>rund</w:t>
      </w:r>
      <w:r w:rsidR="00CB52D0">
        <w:t xml:space="preserve"> 10 Prozent auf 1.111,7 Mio. Euro (Vorjahr: 1.013,8 Mio. Euro)</w:t>
      </w:r>
      <w:r w:rsidR="00D963C7">
        <w:t>. D</w:t>
      </w:r>
      <w:r w:rsidR="00CB52D0">
        <w:t xml:space="preserve">as </w:t>
      </w:r>
      <w:r w:rsidR="009C5340">
        <w:t>E</w:t>
      </w:r>
      <w:r w:rsidR="00CB52D0">
        <w:t xml:space="preserve">rgebnis vor Zinsen und Steuern (EBIT) </w:t>
      </w:r>
      <w:r w:rsidR="00696943">
        <w:t xml:space="preserve">ging jedoch wegen überraschend hoher Belastungen im Unternehmensbereich </w:t>
      </w:r>
      <w:proofErr w:type="spellStart"/>
      <w:r w:rsidR="00696943">
        <w:t>Wiring</w:t>
      </w:r>
      <w:proofErr w:type="spellEnd"/>
      <w:r w:rsidR="00696943">
        <w:t xml:space="preserve"> Systems </w:t>
      </w:r>
      <w:r w:rsidR="009C5340">
        <w:t xml:space="preserve">konzernweit </w:t>
      </w:r>
      <w:r w:rsidR="00696943">
        <w:t>um rund 14 Prozent auf 29,8 Mio. Euro (Vorjahr: 34,7 Mio. Euro)</w:t>
      </w:r>
      <w:r w:rsidR="00D963C7">
        <w:t xml:space="preserve"> zurück</w:t>
      </w:r>
      <w:r w:rsidR="00696943">
        <w:t xml:space="preserve">. Im gesamten Neunmonatszeitraum </w:t>
      </w:r>
      <w:r w:rsidR="008F1003">
        <w:t>nahm</w:t>
      </w:r>
      <w:r w:rsidR="00696943">
        <w:t xml:space="preserve"> das Geschäftsvolumen um etwa 11 Prozent auf 3.376,2 Mio. Euro (Vorjahr: 3.053,4 Mio. Euro) </w:t>
      </w:r>
      <w:r w:rsidR="006E3BBB">
        <w:t>zu</w:t>
      </w:r>
      <w:r w:rsidR="001A6441">
        <w:t>,</w:t>
      </w:r>
      <w:r w:rsidR="006E3BBB">
        <w:t xml:space="preserve"> </w:t>
      </w:r>
      <w:r w:rsidR="00696943">
        <w:t xml:space="preserve">und das EBIT reduzierte sich um circa 13 Prozent auf 115,3 Mio. Euro (Vorjahr: 132,7 Mio. Euro). </w:t>
      </w:r>
      <w:r w:rsidR="00D625CE">
        <w:t xml:space="preserve"> Für das Gesamtjahr 2015 gehen wir von einem Umsatz von mindestens 4,</w:t>
      </w:r>
      <w:r w:rsidR="006C5B07">
        <w:t>4</w:t>
      </w:r>
      <w:r w:rsidR="00D625CE">
        <w:t xml:space="preserve"> Mrd. Euro und einem EBIT von </w:t>
      </w:r>
      <w:r w:rsidR="006C5B07">
        <w:t xml:space="preserve">mehr als </w:t>
      </w:r>
      <w:r w:rsidR="00D625CE" w:rsidRPr="006C5B07">
        <w:t>130 Mio. Euro aus.</w:t>
      </w:r>
    </w:p>
    <w:p w14:paraId="489A9415" w14:textId="5E264C07" w:rsidR="00696943" w:rsidRDefault="00696943" w:rsidP="001A0E04">
      <w:pPr>
        <w:pStyle w:val="MMFlietext"/>
      </w:pPr>
      <w:r>
        <w:t>Vo</w:t>
      </w:r>
      <w:r w:rsidR="008F1003">
        <w:t xml:space="preserve">m </w:t>
      </w:r>
      <w:r>
        <w:t>Umsatz</w:t>
      </w:r>
      <w:r w:rsidR="008F1003">
        <w:t>anstieg</w:t>
      </w:r>
      <w:r>
        <w:t xml:space="preserve"> in den ersten drei Quartalen </w:t>
      </w:r>
      <w:r w:rsidR="009C5340">
        <w:t>(</w:t>
      </w:r>
      <w:r>
        <w:t>322,8 Mio. Euro</w:t>
      </w:r>
      <w:r w:rsidR="009C5340">
        <w:t>)</w:t>
      </w:r>
      <w:r>
        <w:t xml:space="preserve"> </w:t>
      </w:r>
      <w:r w:rsidR="009C5340">
        <w:t>stammten</w:t>
      </w:r>
      <w:r>
        <w:t xml:space="preserve"> 155,8 Mio. Euro aus organischem Wachstum. Wechselkursveränderungen </w:t>
      </w:r>
      <w:r w:rsidR="00457A28">
        <w:t xml:space="preserve">hatten einen positiven Effekt </w:t>
      </w:r>
      <w:r>
        <w:t>von 199,1 Mio. Euro und de</w:t>
      </w:r>
      <w:r w:rsidR="00457A28">
        <w:t>r</w:t>
      </w:r>
      <w:r>
        <w:t xml:space="preserve"> niedrigere Kupferpreis</w:t>
      </w:r>
      <w:r w:rsidR="00457A28">
        <w:t xml:space="preserve"> wirkte sich mit 32,1 Mio. Euro negativ aus. In der Region E</w:t>
      </w:r>
      <w:r>
        <w:t xml:space="preserve">MEA </w:t>
      </w:r>
      <w:r w:rsidR="00457A28">
        <w:t xml:space="preserve">(Europa, Mittlerer Osten, Afrika) erhöhte sich </w:t>
      </w:r>
      <w:r w:rsidR="00EB13B7">
        <w:t xml:space="preserve">der Umsatz </w:t>
      </w:r>
      <w:r>
        <w:t>um rund 7</w:t>
      </w:r>
      <w:r w:rsidR="009C5340">
        <w:t xml:space="preserve"> </w:t>
      </w:r>
      <w:r>
        <w:t xml:space="preserve">Prozent auf 2.191,6 Mio. Euro (Vorjahr: </w:t>
      </w:r>
      <w:r w:rsidR="00457A28">
        <w:t>2.045,9 Mio. Euro)</w:t>
      </w:r>
      <w:r>
        <w:t xml:space="preserve">, in Amerika um knapp 25 Prozent </w:t>
      </w:r>
      <w:r w:rsidR="00457A28">
        <w:t>auf 567,4 Mio. Euro (Vorjahr: 455,4 Mio. Euro) und in Asien um fast 12 Prozent auf 617,2 Mio. Euro (Vorjahr: 552,1 Mio. Euro).</w:t>
      </w:r>
    </w:p>
    <w:p w14:paraId="42D201A8" w14:textId="09AC2543" w:rsidR="008779CE" w:rsidRPr="008779CE" w:rsidRDefault="00880A8F" w:rsidP="00F37EB7">
      <w:pPr>
        <w:pStyle w:val="MMZwischenberschrift"/>
      </w:pPr>
      <w:proofErr w:type="spellStart"/>
      <w:r w:rsidRPr="008779CE">
        <w:t>W</w:t>
      </w:r>
      <w:r>
        <w:t>iring</w:t>
      </w:r>
      <w:proofErr w:type="spellEnd"/>
      <w:r>
        <w:t xml:space="preserve"> Systems Division: </w:t>
      </w:r>
      <w:r w:rsidR="008F1003">
        <w:t>Ergebniseinbruch im dritten Quartal</w:t>
      </w:r>
    </w:p>
    <w:p w14:paraId="6C756401" w14:textId="23D3F72E" w:rsidR="008A3D5F" w:rsidRDefault="008F1003" w:rsidP="001A0E04">
      <w:pPr>
        <w:pStyle w:val="MMFlietext"/>
      </w:pPr>
      <w:r>
        <w:t>Im</w:t>
      </w:r>
      <w:r w:rsidR="001A0E04" w:rsidRPr="001A0E04">
        <w:t xml:space="preserve"> Unternehmensbereich </w:t>
      </w:r>
      <w:proofErr w:type="spellStart"/>
      <w:r w:rsidR="001A0E04" w:rsidRPr="001A0E04">
        <w:t>Wiring</w:t>
      </w:r>
      <w:proofErr w:type="spellEnd"/>
      <w:r w:rsidR="001A0E04" w:rsidRPr="001A0E04">
        <w:t xml:space="preserve"> Systems</w:t>
      </w:r>
      <w:r w:rsidR="00ED557D">
        <w:t xml:space="preserve"> (WSD)</w:t>
      </w:r>
      <w:r w:rsidR="00D963C7">
        <w:t xml:space="preserve"> legte der</w:t>
      </w:r>
      <w:r>
        <w:t xml:space="preserve"> </w:t>
      </w:r>
      <w:r w:rsidR="00ED557D">
        <w:t xml:space="preserve">Außenumsatz von </w:t>
      </w:r>
      <w:r>
        <w:t xml:space="preserve">Juli bis September 2015 </w:t>
      </w:r>
      <w:r w:rsidR="00D963C7">
        <w:t xml:space="preserve">um </w:t>
      </w:r>
      <w:r>
        <w:t xml:space="preserve">fast 13 Prozent auf 649,6 Mio. Euro (Vorjahr: </w:t>
      </w:r>
      <w:r w:rsidRPr="004C72E7">
        <w:t>576,5 Mio</w:t>
      </w:r>
      <w:r>
        <w:t>. Euro) zu</w:t>
      </w:r>
      <w:r w:rsidR="00D963C7">
        <w:t xml:space="preserve">. Das EBIT verringerte sich dagegen im Quartalsvergleich wegen überraschend hoher Belastungen, die vor allem </w:t>
      </w:r>
      <w:r w:rsidR="001A6441">
        <w:t xml:space="preserve">im </w:t>
      </w:r>
      <w:r w:rsidR="00D963C7">
        <w:t xml:space="preserve">September auftraten, </w:t>
      </w:r>
      <w:r>
        <w:t xml:space="preserve">auf 5,8 Mio. Euro (Vorjahr: 11,7 Mio. Euro). </w:t>
      </w:r>
      <w:r w:rsidR="00F64811">
        <w:t xml:space="preserve">Hauptgründe hierfür </w:t>
      </w:r>
      <w:r w:rsidR="00F64811">
        <w:lastRenderedPageBreak/>
        <w:t xml:space="preserve">waren </w:t>
      </w:r>
      <w:r>
        <w:t xml:space="preserve">beschleunigte und komplexer als erwartete </w:t>
      </w:r>
      <w:r w:rsidR="00D963C7">
        <w:t>A</w:t>
      </w:r>
      <w:r w:rsidR="008A3D5F">
        <w:t>n</w:t>
      </w:r>
      <w:r>
        <w:t>läufe</w:t>
      </w:r>
      <w:r w:rsidR="00D963C7">
        <w:t xml:space="preserve"> von neuen Projekten</w:t>
      </w:r>
      <w:r>
        <w:t xml:space="preserve">, da Kunden ihre Abrufe kurzfristig erhöhten und </w:t>
      </w:r>
      <w:r w:rsidR="003571D5">
        <w:t>umfangreichere</w:t>
      </w:r>
      <w:r w:rsidR="00F64811">
        <w:t xml:space="preserve"> Kabelsätze orderten als geplant</w:t>
      </w:r>
      <w:r>
        <w:t>. Aus diesen für Leoni an sich positiven</w:t>
      </w:r>
      <w:r w:rsidR="007263F9">
        <w:t xml:space="preserve"> </w:t>
      </w:r>
      <w:r w:rsidR="008D3EDA">
        <w:t xml:space="preserve">Entwicklungen </w:t>
      </w:r>
      <w:r>
        <w:t xml:space="preserve">resultierten </w:t>
      </w:r>
      <w:r w:rsidR="004627A1">
        <w:t>erhebliche, außerplanmäßige Mehrkosten</w:t>
      </w:r>
      <w:r>
        <w:t xml:space="preserve"> und ineffiziente Abläufe</w:t>
      </w:r>
      <w:r w:rsidR="004627A1">
        <w:t xml:space="preserve"> in der Bordnetzsparte</w:t>
      </w:r>
      <w:r>
        <w:t xml:space="preserve">. </w:t>
      </w:r>
      <w:r w:rsidR="008C0195">
        <w:t xml:space="preserve">Diese Defizite ziehen länger anhaltende Belastungen nach sich. </w:t>
      </w:r>
      <w:r w:rsidR="003E7A45">
        <w:t>Insbesondere kam es a</w:t>
      </w:r>
      <w:r w:rsidR="008A3D5F">
        <w:t xml:space="preserve">n einem davon besonders betroffenen Standort in Rumänien </w:t>
      </w:r>
      <w:r w:rsidR="00402BF4" w:rsidRPr="003D36FD">
        <w:t xml:space="preserve">zu </w:t>
      </w:r>
      <w:r w:rsidR="003571D5" w:rsidRPr="003D36FD">
        <w:t>wesentlichen</w:t>
      </w:r>
      <w:r w:rsidR="008C0195" w:rsidRPr="003D36FD">
        <w:t xml:space="preserve"> </w:t>
      </w:r>
      <w:r w:rsidR="00402BF4" w:rsidRPr="003D36FD">
        <w:t>personellen Engpässen</w:t>
      </w:r>
      <w:r w:rsidR="008A3D5F">
        <w:t>. D</w:t>
      </w:r>
      <w:r w:rsidR="009C5340">
        <w:t>a in der Region Vollbeschäftigung herrscht, musste d</w:t>
      </w:r>
      <w:r w:rsidR="008A3D5F">
        <w:t xml:space="preserve">er zusätzliche Personalbedarf aus anderen Ländern und mit Leasingkräften gedeckt werden. </w:t>
      </w:r>
      <w:r w:rsidR="00200C3E">
        <w:t xml:space="preserve">Zudem belastete </w:t>
      </w:r>
      <w:r w:rsidR="008A3D5F">
        <w:t>die unerwartet</w:t>
      </w:r>
      <w:r w:rsidR="00402BF4">
        <w:t xml:space="preserve"> starke</w:t>
      </w:r>
      <w:r w:rsidR="008A3D5F">
        <w:t xml:space="preserve"> Anhebung des Mindestlohns in Rumänien. </w:t>
      </w:r>
    </w:p>
    <w:p w14:paraId="1E171EDF" w14:textId="396FFE15" w:rsidR="008A3D5F" w:rsidRDefault="008A3D5F" w:rsidP="001A0E04">
      <w:pPr>
        <w:pStyle w:val="MMFlietext"/>
      </w:pPr>
      <w:r>
        <w:t xml:space="preserve">Weitere Ergebnisbeeinträchtigungen </w:t>
      </w:r>
      <w:r w:rsidR="006E3BBB">
        <w:t>ergaben sich</w:t>
      </w:r>
      <w:r>
        <w:t xml:space="preserve"> aus dem vorzeitigen Auslaufen </w:t>
      </w:r>
      <w:r w:rsidR="007263F9">
        <w:t>einiger</w:t>
      </w:r>
      <w:r>
        <w:t xml:space="preserve"> margenstarker Projekte, beispielsweise im Agrarsektor und bei einzelnen Pkw-Modellen. </w:t>
      </w:r>
      <w:r w:rsidR="00227406">
        <w:t>In den ersten drei Quartalen 2015 insgesamt nahm</w:t>
      </w:r>
      <w:r w:rsidR="008C0195">
        <w:t xml:space="preserve"> </w:t>
      </w:r>
      <w:r w:rsidR="00227406">
        <w:t xml:space="preserve">der Außenumsatz des Unternehmensbereichs WSD um rund 12 Prozent auf 1.987,3 Mio. Euro (Vorjahr: 1.771,9 Mio. Euro) zu und das EBIT um </w:t>
      </w:r>
      <w:r w:rsidR="00D963C7">
        <w:t>circa</w:t>
      </w:r>
      <w:r w:rsidR="00227406">
        <w:t xml:space="preserve"> 16 Prozent auf 58,7 Mio. Euro (Vorjahr: 69,8 Mio. Euro)</w:t>
      </w:r>
      <w:r w:rsidR="009C5340">
        <w:t xml:space="preserve"> ab</w:t>
      </w:r>
      <w:r w:rsidR="00227406">
        <w:t xml:space="preserve">. </w:t>
      </w:r>
    </w:p>
    <w:p w14:paraId="64048E4F" w14:textId="298C2CF4" w:rsidR="00E436DA" w:rsidRPr="008B1883" w:rsidRDefault="00241144" w:rsidP="00E436DA">
      <w:pPr>
        <w:pStyle w:val="MMZwischenberschrift"/>
      </w:pPr>
      <w:proofErr w:type="spellStart"/>
      <w:r>
        <w:t>Wire</w:t>
      </w:r>
      <w:proofErr w:type="spellEnd"/>
      <w:r>
        <w:t xml:space="preserve"> &amp; Cable Solutions</w:t>
      </w:r>
      <w:r w:rsidR="00525A9A">
        <w:t xml:space="preserve">: </w:t>
      </w:r>
      <w:r>
        <w:t>Umsatz</w:t>
      </w:r>
      <w:r w:rsidR="00F74674">
        <w:t xml:space="preserve">- und </w:t>
      </w:r>
      <w:r>
        <w:t>Ergebnis</w:t>
      </w:r>
      <w:r w:rsidR="00F74674">
        <w:t>plus im dritten Quartal</w:t>
      </w:r>
    </w:p>
    <w:p w14:paraId="19377A59" w14:textId="564BF45F" w:rsidR="006E7CEB" w:rsidRDefault="00EF262D" w:rsidP="00EF262D">
      <w:pPr>
        <w:pStyle w:val="MMFlietext"/>
      </w:pPr>
      <w:r>
        <w:t>Der</w:t>
      </w:r>
      <w:r w:rsidRPr="00EF262D">
        <w:t xml:space="preserve"> </w:t>
      </w:r>
      <w:r w:rsidR="00182E02">
        <w:t>U</w:t>
      </w:r>
      <w:r w:rsidRPr="00EF262D">
        <w:t xml:space="preserve">nternehmensbereich </w:t>
      </w:r>
      <w:proofErr w:type="spellStart"/>
      <w:r w:rsidRPr="00EF262D">
        <w:t>Wire</w:t>
      </w:r>
      <w:proofErr w:type="spellEnd"/>
      <w:r w:rsidRPr="00EF262D">
        <w:t xml:space="preserve"> &amp; Cable Solutions (WCS) </w:t>
      </w:r>
      <w:r w:rsidR="00F74674">
        <w:t>konnte seinen Außenumsatz von Juli bis September 2015 gegenüber Vorjahr um rund 6</w:t>
      </w:r>
      <w:r w:rsidR="009C5340">
        <w:t xml:space="preserve"> </w:t>
      </w:r>
      <w:r w:rsidR="00F74674">
        <w:t xml:space="preserve">Prozent auf 462,1 Mio. Euro (Vorjahr: 437,3 Mio. Euro) und im Neunmonatsvergleich um gut 8 Prozent auf 1.388,9 Mio. Euro (Vorjahr: 1.281,5 Mio. Euro) ausweiten. Dabei wuchs die Nachfrage nach Automobilleitungen </w:t>
      </w:r>
      <w:r w:rsidR="00D963C7">
        <w:t>sowie</w:t>
      </w:r>
      <w:r w:rsidR="00F74674">
        <w:t xml:space="preserve"> Robotik</w:t>
      </w:r>
      <w:r w:rsidR="00D963C7">
        <w:t>- und Highspeed</w:t>
      </w:r>
      <w:r w:rsidR="00D506D8">
        <w:t>-K</w:t>
      </w:r>
      <w:r w:rsidR="00D963C7">
        <w:t>abeln</w:t>
      </w:r>
      <w:r w:rsidR="00F74674">
        <w:t xml:space="preserve">, während das Geschäft mit Datenleitungen sowie Kabeln für Infrastrukturprojekte und die Petrochemie schwächer als </w:t>
      </w:r>
      <w:r w:rsidR="009C5340">
        <w:t>geplant</w:t>
      </w:r>
      <w:r w:rsidR="00F74674">
        <w:t xml:space="preserve"> verlief. Das Ergebnis vor Zinsen und Steuern stieg im dritten Quartal 2015 um gut 4 Prozent auf 24,1 Mio. Euro (Vorjahr: 23,1 Mio. Euro). In den ersten neun Monaten lag das EBIT mit 56,5 Mio. Euro noch rund 10 Prozent </w:t>
      </w:r>
      <w:r w:rsidR="009C5340">
        <w:t>unter dem Vergleichswert</w:t>
      </w:r>
      <w:r w:rsidR="00F74674">
        <w:t xml:space="preserve"> (Vorjahr: </w:t>
      </w:r>
      <w:r w:rsidR="006E7CEB">
        <w:t xml:space="preserve">62,9 Mio. Euro), da sich im ersten Halbjahr verschiedene Faktoren negativ ausgewirkt hatten – unter anderem ein ungünstiger Produktmix im relativ stark </w:t>
      </w:r>
      <w:r w:rsidR="006E7CEB">
        <w:lastRenderedPageBreak/>
        <w:t xml:space="preserve">gewachsenen </w:t>
      </w:r>
      <w:r w:rsidR="00D963C7">
        <w:t>Geschäftsfeld A</w:t>
      </w:r>
      <w:r w:rsidR="006E7CEB">
        <w:t>utomobilleitungen</w:t>
      </w:r>
      <w:r w:rsidR="005D7530">
        <w:t xml:space="preserve"> </w:t>
      </w:r>
      <w:r w:rsidR="006E7CEB">
        <w:t xml:space="preserve">und Vorleistungen für das Performance-Programm </w:t>
      </w:r>
      <w:r w:rsidR="00C440BC">
        <w:t>„</w:t>
      </w:r>
      <w:r w:rsidR="006E7CEB">
        <w:t>WCS ON Excellence</w:t>
      </w:r>
      <w:r w:rsidR="00C440BC">
        <w:t>“</w:t>
      </w:r>
      <w:r w:rsidR="006E7CEB">
        <w:t xml:space="preserve">, das im dritten Quartal bereits positive Effekte zeigte. </w:t>
      </w:r>
    </w:p>
    <w:p w14:paraId="299108A4" w14:textId="7C57B7EC" w:rsidR="00E40EB4" w:rsidRDefault="006E7CEB" w:rsidP="00DD5DCD">
      <w:pPr>
        <w:pStyle w:val="MMZwischenberschrift"/>
      </w:pPr>
      <w:r>
        <w:t>F</w:t>
      </w:r>
      <w:r w:rsidR="000C42C6">
        <w:t>ast 7</w:t>
      </w:r>
      <w:r>
        <w:t>5</w:t>
      </w:r>
      <w:r w:rsidR="000C42C6">
        <w:t>.000</w:t>
      </w:r>
      <w:r>
        <w:t xml:space="preserve"> Mitarbeiter</w:t>
      </w:r>
    </w:p>
    <w:p w14:paraId="4520335D" w14:textId="6F11CAEE" w:rsidR="006E7CEB" w:rsidRDefault="006E7CEB" w:rsidP="00DD5DCD">
      <w:pPr>
        <w:pStyle w:val="MMFlietext"/>
      </w:pPr>
      <w:r>
        <w:t>Die Zahl der Beschäftigten erhöhte sich im L</w:t>
      </w:r>
      <w:r w:rsidR="006E3BBB">
        <w:t>eoni</w:t>
      </w:r>
      <w:r>
        <w:t xml:space="preserve">-Konzern </w:t>
      </w:r>
      <w:r w:rsidR="009C5340">
        <w:t>zum 30. S</w:t>
      </w:r>
      <w:r>
        <w:t xml:space="preserve">eptember 2015 </w:t>
      </w:r>
      <w:r w:rsidR="005D7530">
        <w:t xml:space="preserve">im Vergleich zum Vorjahresstichtag um 7.582 Personen </w:t>
      </w:r>
      <w:r w:rsidR="0015152B">
        <w:t xml:space="preserve">auf 74.973 Mitarbeiter </w:t>
      </w:r>
      <w:r w:rsidR="005D7530">
        <w:t xml:space="preserve">(30.9.2014: 67.391). </w:t>
      </w:r>
      <w:r>
        <w:t xml:space="preserve">Neueinstellungen gab es </w:t>
      </w:r>
      <w:r w:rsidR="005D7530">
        <w:t xml:space="preserve">im laufenden Geschäftsjahr </w:t>
      </w:r>
      <w:r w:rsidR="00D963C7">
        <w:t>hauptsächlich</w:t>
      </w:r>
      <w:r>
        <w:t xml:space="preserve"> an Bordnetz-Standorten in Osteuropa und Nordafrika sowie in Automobilkabel-Werken </w:t>
      </w:r>
      <w:r w:rsidR="00366E10">
        <w:t>der Regionen</w:t>
      </w:r>
      <w:r>
        <w:t xml:space="preserve"> Asien und Amerika, aber auch in Deutschland. </w:t>
      </w:r>
    </w:p>
    <w:p w14:paraId="29789026" w14:textId="069737A2" w:rsidR="00E436DA" w:rsidRPr="005258BF" w:rsidRDefault="00285720" w:rsidP="00E436DA">
      <w:pPr>
        <w:pStyle w:val="MMZwischenberschrift"/>
      </w:pPr>
      <w:r w:rsidRPr="005258BF">
        <w:t>Prognose</w:t>
      </w:r>
      <w:r>
        <w:t xml:space="preserve"> </w:t>
      </w:r>
      <w:r w:rsidR="006E7CEB">
        <w:t>für 2015</w:t>
      </w:r>
    </w:p>
    <w:p w14:paraId="05CA5B0C" w14:textId="219FA53B" w:rsidR="00ED33ED" w:rsidRDefault="00691F37" w:rsidP="00D65565">
      <w:pPr>
        <w:pStyle w:val="MMFlietext"/>
      </w:pPr>
      <w:r>
        <w:t xml:space="preserve">Im Gesamtjahr 2015 wird Leoni den Konzernumsatz </w:t>
      </w:r>
      <w:r w:rsidR="005D7530">
        <w:t xml:space="preserve">wie </w:t>
      </w:r>
      <w:r w:rsidR="00EB13B7">
        <w:t xml:space="preserve">zuletzt </w:t>
      </w:r>
      <w:r w:rsidR="005D7530">
        <w:t xml:space="preserve">prognostiziert </w:t>
      </w:r>
      <w:r>
        <w:t>auf mindestens 4,</w:t>
      </w:r>
      <w:r w:rsidR="006C5B07">
        <w:t>4</w:t>
      </w:r>
      <w:r>
        <w:t xml:space="preserve"> Mrd. Euro steigern (Vorjahr: 4,1 Mrd. Euro)</w:t>
      </w:r>
      <w:r w:rsidR="005D7530">
        <w:t xml:space="preserve">, wobei der </w:t>
      </w:r>
      <w:r>
        <w:t>Zuwachs von beiden Unternehmensbereichen getragen</w:t>
      </w:r>
      <w:r w:rsidR="005D7530">
        <w:t xml:space="preserve"> wird</w:t>
      </w:r>
      <w:r>
        <w:t xml:space="preserve">. Das Ergebnis vor Zinsen und Steuern wird dagegen </w:t>
      </w:r>
      <w:r w:rsidR="00EB13B7">
        <w:t xml:space="preserve">lediglich </w:t>
      </w:r>
      <w:r w:rsidR="006C5B07" w:rsidRPr="006C5B07">
        <w:t xml:space="preserve">mehr als </w:t>
      </w:r>
      <w:r w:rsidRPr="006C5B07">
        <w:t>1</w:t>
      </w:r>
      <w:r w:rsidR="00366E10" w:rsidRPr="006C5B07">
        <w:t>3</w:t>
      </w:r>
      <w:r w:rsidRPr="006C5B07">
        <w:t>0 Mio. Euro</w:t>
      </w:r>
      <w:r w:rsidR="006C5B07">
        <w:t xml:space="preserve"> </w:t>
      </w:r>
      <w:r w:rsidR="00EB13B7">
        <w:t xml:space="preserve">betragen </w:t>
      </w:r>
      <w:r>
        <w:t>(Vorjahr: 182,5 Mio. Euro) und damit</w:t>
      </w:r>
      <w:r w:rsidR="0015152B">
        <w:t>,</w:t>
      </w:r>
      <w:r>
        <w:t xml:space="preserve"> </w:t>
      </w:r>
      <w:r w:rsidR="005D7530">
        <w:t>wie am 12. Oktober bekannt gegeben</w:t>
      </w:r>
      <w:r w:rsidR="0015152B">
        <w:t>,</w:t>
      </w:r>
      <w:r w:rsidR="005D7530">
        <w:t xml:space="preserve"> </w:t>
      </w:r>
      <w:r>
        <w:t xml:space="preserve">den </w:t>
      </w:r>
      <w:r w:rsidR="005D7530">
        <w:t xml:space="preserve">ursprünglichen </w:t>
      </w:r>
      <w:r>
        <w:t xml:space="preserve">Zielwert von mehr als 200 Mio. Euro </w:t>
      </w:r>
      <w:r w:rsidR="005D7530">
        <w:t>d</w:t>
      </w:r>
      <w:r>
        <w:t xml:space="preserve">eutlich unterschreiten. </w:t>
      </w:r>
      <w:r w:rsidR="006E3BBB">
        <w:t>Verantwortlich</w:t>
      </w:r>
      <w:r>
        <w:t xml:space="preserve"> dafür sind vor allem die beschriebenen</w:t>
      </w:r>
      <w:r w:rsidR="005D7530">
        <w:t xml:space="preserve">, unerwarteten </w:t>
      </w:r>
      <w:r>
        <w:t xml:space="preserve">Belastungen im Bordnetz-Bereich sowie in geringerem Umfang das unter den </w:t>
      </w:r>
      <w:r w:rsidR="009C5340">
        <w:t>Planungen</w:t>
      </w:r>
      <w:r>
        <w:t xml:space="preserve"> liegende Geschäft in einigen Industriebereichen.</w:t>
      </w:r>
    </w:p>
    <w:p w14:paraId="7ED594C8" w14:textId="7B8496FB" w:rsidR="005E4289" w:rsidRDefault="00B41441" w:rsidP="00557666">
      <w:pPr>
        <w:pStyle w:val="MMFlietext"/>
      </w:pPr>
      <w:r>
        <w:t>Dieter Bellé</w:t>
      </w:r>
      <w:r w:rsidR="00ED33ED">
        <w:t xml:space="preserve">, Vorstandsvorsitzender der Leoni AG, </w:t>
      </w:r>
      <w:r>
        <w:t>sagte: „Als solide aufgestelltes und finanziertes Unternehmen, das nach wie vor über gute Perspektiven verfügt, wird Leoni das derzeitige Margenproblem gründlich und nachhaltig beseitigen und wieder auf einen ertragsorientierten Wachstumspfad zurückkehren.“</w:t>
      </w:r>
      <w:r w:rsidR="00ED33ED">
        <w:t xml:space="preserve"> </w:t>
      </w:r>
      <w:r w:rsidR="003E7A45">
        <w:t>Hier</w:t>
      </w:r>
      <w:r w:rsidR="00E83F4E">
        <w:t xml:space="preserve">zu wurde eine Task Force </w:t>
      </w:r>
      <w:r w:rsidR="00EB13B7">
        <w:t xml:space="preserve">unter Führung von Dieter Bellé und Dr. Frank Hiller, Vorstandsmitglied mit Verantwortung für die Division WCS, </w:t>
      </w:r>
      <w:r w:rsidR="00E83F4E">
        <w:t xml:space="preserve">eingerichtet, die mit höchster Priorität die genauen Ursachen analysiert und entsprechende Gegenmaßnahmen entwickelt. </w:t>
      </w:r>
    </w:p>
    <w:p w14:paraId="45C68C2B" w14:textId="4F42526E" w:rsidR="006E7CEB" w:rsidRDefault="00EC621F" w:rsidP="00557666">
      <w:pPr>
        <w:pStyle w:val="MMFlietext"/>
      </w:pPr>
      <w:r>
        <w:t xml:space="preserve">Wie berichtet, </w:t>
      </w:r>
      <w:r w:rsidR="003A2196">
        <w:t xml:space="preserve">wird das Ergebnis im kommenden Jahr </w:t>
      </w:r>
      <w:r>
        <w:t xml:space="preserve">außerdem </w:t>
      </w:r>
      <w:r w:rsidR="003A2196">
        <w:t xml:space="preserve">voraussichtlich durch Nachfragereduzierungen </w:t>
      </w:r>
      <w:r w:rsidR="00D963C7">
        <w:t xml:space="preserve">und entsprechend fehlende Deckungsbeiträge </w:t>
      </w:r>
      <w:r w:rsidR="003A2196">
        <w:t xml:space="preserve">wegen der verschlechterten wirtschaftlichen </w:t>
      </w:r>
      <w:r w:rsidR="003A2196">
        <w:lastRenderedPageBreak/>
        <w:t xml:space="preserve">Rahmenbedingungen in China und Russland sowie </w:t>
      </w:r>
      <w:r w:rsidR="00D963C7">
        <w:t xml:space="preserve">bei </w:t>
      </w:r>
      <w:r w:rsidR="003A2196">
        <w:t xml:space="preserve">der US-amerikanischen Nutzfahrzeugindustrie und einzelnen Automobilherstellern geschmälert. </w:t>
      </w:r>
      <w:r w:rsidR="00252C67" w:rsidRPr="00252C67">
        <w:t xml:space="preserve">In Anbetracht der notwendigen Überprüfungen, insbesondere auch der für 2016 geplanten Anläufe, </w:t>
      </w:r>
      <w:r w:rsidR="00252C67">
        <w:t>wird Leoni</w:t>
      </w:r>
      <w:r w:rsidR="00252C67" w:rsidRPr="00252C67">
        <w:t xml:space="preserve"> eine </w:t>
      </w:r>
      <w:r w:rsidR="00252C67">
        <w:t xml:space="preserve">belastbare Ergebnisprognose </w:t>
      </w:r>
      <w:r w:rsidR="00252C67" w:rsidRPr="00252C67">
        <w:t xml:space="preserve">für das Jahr 2016 </w:t>
      </w:r>
      <w:r w:rsidR="00252C67">
        <w:t xml:space="preserve">bis </w:t>
      </w:r>
      <w:r w:rsidR="00252C67" w:rsidRPr="00252C67">
        <w:t>zur Bilanzpressekonferenz am 23. März 2016 präsentieren.</w:t>
      </w:r>
      <w:r w:rsidR="00252C67">
        <w:t xml:space="preserve"> </w:t>
      </w:r>
    </w:p>
    <w:p w14:paraId="65B77E70" w14:textId="77793934" w:rsidR="00B30C8C" w:rsidRPr="00EF38F2" w:rsidRDefault="005456EE" w:rsidP="006E7CEB">
      <w:pPr>
        <w:pStyle w:val="MMFlietext"/>
      </w:pPr>
      <w:r w:rsidRPr="00EF38F2">
        <w:rPr>
          <w:i/>
        </w:rPr>
        <w:t>(</w:t>
      </w:r>
      <w:r w:rsidR="00711752">
        <w:rPr>
          <w:i/>
        </w:rPr>
        <w:t>6.491</w:t>
      </w:r>
      <w:r w:rsidRPr="00EF38F2">
        <w:rPr>
          <w:i/>
        </w:rPr>
        <w:t xml:space="preserve"> Anschläge inkl. Leerzeichen)</w:t>
      </w:r>
    </w:p>
    <w:p w14:paraId="075B1ADA" w14:textId="26009784" w:rsidR="005456EE" w:rsidRPr="009714B0" w:rsidRDefault="005456EE" w:rsidP="005456EE">
      <w:pPr>
        <w:pStyle w:val="MMKurzprofilberschrift"/>
        <w:spacing w:after="120"/>
      </w:pPr>
      <w:r w:rsidRPr="009714B0">
        <w:t>Leoni-Konzernzahlen im Überblick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6"/>
        <w:gridCol w:w="802"/>
        <w:gridCol w:w="803"/>
        <w:gridCol w:w="804"/>
        <w:gridCol w:w="803"/>
        <w:gridCol w:w="803"/>
        <w:gridCol w:w="804"/>
      </w:tblGrid>
      <w:tr w:rsidR="009A20E3" w14:paraId="085276B5" w14:textId="77777777" w:rsidTr="002B4FCE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9AE" w14:textId="77777777" w:rsidR="009A20E3" w:rsidRPr="009A20E3" w:rsidRDefault="009A20E3" w:rsidP="009A20E3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20E3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  <w:p w14:paraId="23C82DAC" w14:textId="77777777" w:rsidR="009A20E3" w:rsidRPr="009A20E3" w:rsidRDefault="009A20E3" w:rsidP="009A20E3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E192" w14:textId="745BD904" w:rsidR="009A20E3" w:rsidRDefault="000E0FD8" w:rsidP="000E0FD8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A20E3">
              <w:rPr>
                <w:rFonts w:ascii="Arial" w:hAnsi="Arial" w:cs="Arial"/>
                <w:b/>
                <w:sz w:val="18"/>
                <w:szCs w:val="18"/>
              </w:rPr>
              <w:t>. Quartal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FD3" w14:textId="088D7DBF" w:rsidR="009A20E3" w:rsidRDefault="009A20E3" w:rsidP="000E0FD8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0E0FD8">
              <w:rPr>
                <w:rFonts w:ascii="Arial" w:hAnsi="Arial" w:cs="Arial"/>
                <w:b/>
                <w:sz w:val="18"/>
                <w:szCs w:val="18"/>
              </w:rPr>
              <w:t>-3. Quartal</w:t>
            </w:r>
          </w:p>
        </w:tc>
      </w:tr>
      <w:tr w:rsidR="009A20E3" w14:paraId="621889D2" w14:textId="77777777" w:rsidTr="009A20E3"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A1F1" w14:textId="77777777" w:rsidR="009A20E3" w:rsidRDefault="009A20E3" w:rsidP="002B4F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1907D" w14:textId="600B0054" w:rsidR="009A20E3" w:rsidRDefault="009A20E3" w:rsidP="002B4FC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81" w14:textId="7AB47054" w:rsidR="009A20E3" w:rsidRDefault="009A20E3" w:rsidP="002B4FC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E063" w14:textId="77777777" w:rsidR="009A20E3" w:rsidRDefault="009A20E3" w:rsidP="002B4FC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1D98" w14:textId="532B2341" w:rsidR="009A20E3" w:rsidRDefault="00006C13" w:rsidP="002B4FC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0BCA" w14:textId="4359162D" w:rsidR="009A20E3" w:rsidRDefault="009A20E3" w:rsidP="002B4FC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75E" w14:textId="77777777" w:rsidR="009A20E3" w:rsidRDefault="009A20E3" w:rsidP="002B4FCE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B52D0" w14:paraId="55B4ECCD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40C" w14:textId="6937BCFD" w:rsidR="00CB52D0" w:rsidRDefault="00CB52D0" w:rsidP="002B4FCE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Umsatzerlöse [in 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5ACBD" w14:textId="22EFDD3A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1.111,7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C95" w14:textId="0B92F6C5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1.013,8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596" w14:textId="77B83143" w:rsidR="00CB52D0" w:rsidRDefault="00CB52D0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9,7%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13F2" w14:textId="55003F83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3.376,2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656" w14:textId="468795BD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3.053,4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264C" w14:textId="61C20830" w:rsidR="00CB52D0" w:rsidRDefault="00CB52D0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10,6%</w:t>
            </w:r>
          </w:p>
        </w:tc>
      </w:tr>
      <w:tr w:rsidR="00CB52D0" w14:paraId="5093B8BD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159" w14:textId="1A5A197E" w:rsidR="00CB52D0" w:rsidRDefault="00CB52D0" w:rsidP="002B4FCE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Zinsen, Steuern und Abschreibungen (EBITDA)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C43E2" w14:textId="6706C27D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9EB" w14:textId="201189B5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67,1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D6AA" w14:textId="7046CDA6" w:rsidR="00CB52D0" w:rsidRPr="0068052B" w:rsidRDefault="00CB52D0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0,0%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1DBC" w14:textId="05917151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220,5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AE4F" w14:textId="077DAA63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225,6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CDA9" w14:textId="6BC10D80" w:rsidR="00CB52D0" w:rsidRDefault="00CB52D0" w:rsidP="00682596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-2,3%</w:t>
            </w:r>
          </w:p>
        </w:tc>
      </w:tr>
      <w:tr w:rsidR="00CB52D0" w14:paraId="3FA6A84C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D86" w14:textId="0D90B99D" w:rsidR="00CB52D0" w:rsidRDefault="00CB52D0" w:rsidP="002B4FCE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 und Steuern (EBIT)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88FA" w14:textId="09601163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29,8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DB" w14:textId="5BDCA9B0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34,7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F5D3" w14:textId="04928009" w:rsidR="00CB52D0" w:rsidRPr="0068052B" w:rsidRDefault="00CB52D0" w:rsidP="00EB13B7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-14,</w:t>
            </w:r>
            <w:r w:rsidR="00EB13B7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870" w14:textId="37B4D30B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115,3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A41" w14:textId="0CC54891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132,7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2C56" w14:textId="682FCF33" w:rsidR="00CB52D0" w:rsidRDefault="00CB52D0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-13,1%</w:t>
            </w:r>
          </w:p>
        </w:tc>
      </w:tr>
      <w:tr w:rsidR="00CB52D0" w14:paraId="7C7912D2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4944" w14:textId="78B2256B" w:rsidR="00CB52D0" w:rsidRDefault="00CB52D0" w:rsidP="009A20E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Bereinigtes EBIT </w:t>
            </w:r>
            <w:r w:rsidRPr="0089546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EB7DA" w14:textId="4587C846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3AA" w14:textId="3B66A2F9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910" w14:textId="75FEAE63" w:rsidR="00CB52D0" w:rsidRPr="0068052B" w:rsidRDefault="00CB52D0" w:rsidP="004862BB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984B" w14:textId="2F1123B1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58E7" w14:textId="67C85DD9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140,2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5FB9" w14:textId="0D2CC05B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-11,1%</w:t>
            </w:r>
          </w:p>
        </w:tc>
      </w:tr>
      <w:tr w:rsidR="00CB52D0" w14:paraId="6271E8D1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0198" w14:textId="5E3E44B5" w:rsidR="00CB52D0" w:rsidRDefault="00CB52D0" w:rsidP="002B4FCE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Steuern (EBT)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EF13" w14:textId="051AFFF2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70FD" w14:textId="6B8702B8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5F85" w14:textId="4674F850" w:rsidR="00CB52D0" w:rsidRPr="0068052B" w:rsidRDefault="00CB52D0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4156" w14:textId="3F92F6D9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8026" w14:textId="41F4CF7A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109,3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79B" w14:textId="08DC1AF5" w:rsidR="00CB52D0" w:rsidRDefault="00CB52D0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-12,7%</w:t>
            </w:r>
          </w:p>
        </w:tc>
      </w:tr>
      <w:tr w:rsidR="00CB52D0" w14:paraId="7916E27F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D04" w14:textId="77777777" w:rsidR="00CB52D0" w:rsidRDefault="00CB52D0" w:rsidP="002B4FCE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Konzernüberschuss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AC4C" w14:textId="77D9AA92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8AEC" w14:textId="35804BFF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32C3" w14:textId="03468435" w:rsidR="00CB52D0" w:rsidRDefault="00CB52D0" w:rsidP="00EB13B7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</w:t>
            </w:r>
            <w:r w:rsidR="00EB13B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3112" w14:textId="0414A97E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24ED" w14:textId="202B8E0A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 xml:space="preserve">77,5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8A70" w14:textId="7F02EFCF" w:rsidR="00CB52D0" w:rsidRDefault="00CB52D0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-12,9%</w:t>
            </w:r>
          </w:p>
        </w:tc>
      </w:tr>
      <w:tr w:rsidR="00CB52D0" w14:paraId="3EF10142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0CFB" w14:textId="67ECE39D" w:rsidR="00CB52D0" w:rsidRDefault="00CB52D0" w:rsidP="009A20E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Investitionen [in 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AFA23" w14:textId="7471A410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DB6A" w14:textId="15F058EB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561" w14:textId="55E83C9C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FE74" w14:textId="27B70544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77E" w14:textId="23AC32F4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140,2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DDF7" w14:textId="2EB6CAFE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15,7%</w:t>
            </w:r>
          </w:p>
        </w:tc>
      </w:tr>
      <w:tr w:rsidR="00CB52D0" w14:paraId="13D84F49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0C9D" w14:textId="1EBB8398" w:rsidR="00CB52D0" w:rsidRDefault="00CB52D0" w:rsidP="002B4FCE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Eigenkapitalquote [in %]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C723" w14:textId="46AFF1C6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D54" w14:textId="408FFCB3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33,9 %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3C6" w14:textId="496A0AB5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D7C0" w14:textId="3351C7E9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E320" w14:textId="32AFF73A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33,9 %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1E90" w14:textId="3596303D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CB52D0" w14:paraId="2957A9FC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563E" w14:textId="1AB42614" w:rsidR="00CB52D0" w:rsidRDefault="00CB52D0" w:rsidP="002B4FCE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je Aktie [in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879A" w14:textId="66DB0B6C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B2F" w14:textId="6EDE23E2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048D" w14:textId="04299A06" w:rsidR="00CB52D0" w:rsidRDefault="00CB52D0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431" w14:textId="636F170D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616" w14:textId="14E51053" w:rsidR="00CB52D0" w:rsidRDefault="00CB52D0" w:rsidP="00CB52D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2,37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57A" w14:textId="5DC57651" w:rsidR="00CB52D0" w:rsidRDefault="00CB52D0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-13,1%</w:t>
            </w:r>
          </w:p>
        </w:tc>
      </w:tr>
      <w:tr w:rsidR="00CB52D0" w14:paraId="20CA9ACC" w14:textId="77777777" w:rsidTr="000E0FD8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F906" w14:textId="3C3CC036" w:rsidR="00CB52D0" w:rsidRDefault="00CB52D0" w:rsidP="00CB52D0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Mitarbeiter per 30.9. [Anzahl]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E2030" w14:textId="7C522DE9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B671" w14:textId="5B139288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E133" w14:textId="4B068A9B" w:rsidR="00CB52D0" w:rsidRDefault="00CB52D0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455" w14:textId="37D42CA8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A34" w14:textId="16C81547" w:rsidR="00CB52D0" w:rsidRDefault="00CB52D0" w:rsidP="002B4FCE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2D0">
              <w:rPr>
                <w:rFonts w:ascii="Arial" w:hAnsi="Arial" w:cs="Arial"/>
                <w:sz w:val="18"/>
                <w:szCs w:val="18"/>
                <w:lang w:val="it-IT"/>
              </w:rPr>
              <w:t>67.391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EA5" w14:textId="7B58D950" w:rsidR="00CB52D0" w:rsidRDefault="00CB52D0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11,3%</w:t>
            </w:r>
          </w:p>
        </w:tc>
      </w:tr>
    </w:tbl>
    <w:p w14:paraId="508A5417" w14:textId="77777777" w:rsidR="009A20E3" w:rsidRDefault="009A20E3" w:rsidP="009A20E3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</w:p>
    <w:p w14:paraId="233994FD" w14:textId="7F37617A" w:rsidR="009A20E3" w:rsidRPr="001877AF" w:rsidRDefault="009A20E3" w:rsidP="009A20E3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sz w:val="18"/>
          <w:szCs w:val="18"/>
          <w:vertAlign w:val="superscript"/>
        </w:rPr>
        <w:t>(1)</w:t>
      </w:r>
      <w:r w:rsidRPr="00DF6351">
        <w:rPr>
          <w:rFonts w:ascii="Arial" w:hAnsi="Arial" w:cs="Arial"/>
          <w:sz w:val="18"/>
          <w:szCs w:val="18"/>
        </w:rPr>
        <w:t xml:space="preserve"> </w:t>
      </w:r>
      <w:r w:rsidRPr="001877AF">
        <w:rPr>
          <w:rFonts w:ascii="Arial" w:hAnsi="Arial" w:cs="Arial"/>
          <w:i/>
          <w:sz w:val="16"/>
          <w:szCs w:val="16"/>
        </w:rPr>
        <w:t>Ergebnis bereinigt um die Effekte aus der Neubewertung im Rahmen der Kaufpreisverteilung wesentlicher Akquisitionen, Restrukturierungen, Wertminderungen langfristiger Vermögenswerte, Gewinne aus Unter-</w:t>
      </w:r>
      <w:proofErr w:type="spellStart"/>
      <w:r w:rsidRPr="001877AF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Pr="001877AF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  <w:r>
        <w:rPr>
          <w:rFonts w:ascii="Arial" w:hAnsi="Arial" w:cs="Arial"/>
          <w:i/>
          <w:sz w:val="16"/>
          <w:szCs w:val="16"/>
        </w:rPr>
        <w:t>.</w:t>
      </w:r>
    </w:p>
    <w:p w14:paraId="31FFCC22" w14:textId="4B46544E" w:rsidR="005456EE" w:rsidRPr="00B30C8C" w:rsidRDefault="009A20E3" w:rsidP="009A20E3">
      <w:pPr>
        <w:pStyle w:val="Listenabsatz"/>
        <w:autoSpaceDE w:val="0"/>
        <w:autoSpaceDN w:val="0"/>
        <w:adjustRightInd w:val="0"/>
        <w:ind w:left="0" w:right="185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br/>
      </w:r>
    </w:p>
    <w:p w14:paraId="3D46F28B" w14:textId="3C6324F0" w:rsidR="00DF6351" w:rsidRPr="00F9437E" w:rsidRDefault="005456EE" w:rsidP="00C32C07">
      <w:pPr>
        <w:ind w:right="1852"/>
        <w:rPr>
          <w:rFonts w:ascii="Arial" w:hAnsi="Arial" w:cs="Arial"/>
          <w:i/>
          <w:sz w:val="21"/>
          <w:szCs w:val="21"/>
        </w:rPr>
      </w:pPr>
      <w:r w:rsidRPr="00B30C8C">
        <w:rPr>
          <w:rFonts w:ascii="Arial" w:hAnsi="Arial" w:cs="Arial"/>
          <w:sz w:val="36"/>
          <w:szCs w:val="36"/>
        </w:rPr>
        <w:sym w:font="Wingdings" w:char="F046"/>
      </w:r>
      <w:r w:rsidRPr="00B30C8C">
        <w:rPr>
          <w:rFonts w:ascii="Arial" w:hAnsi="Arial" w:cs="Arial"/>
          <w:i/>
          <w:sz w:val="20"/>
          <w:szCs w:val="20"/>
        </w:rPr>
        <w:t xml:space="preserve"> </w:t>
      </w:r>
      <w:r w:rsidRPr="00B30C8C">
        <w:rPr>
          <w:rFonts w:ascii="Arial" w:hAnsi="Arial" w:cs="Arial"/>
          <w:i/>
          <w:sz w:val="22"/>
          <w:szCs w:val="22"/>
        </w:rPr>
        <w:t xml:space="preserve">Den vollständigen </w:t>
      </w:r>
      <w:r w:rsidR="00B91CA1">
        <w:rPr>
          <w:rFonts w:ascii="Arial" w:hAnsi="Arial" w:cs="Arial"/>
          <w:i/>
          <w:sz w:val="22"/>
          <w:szCs w:val="22"/>
        </w:rPr>
        <w:t>Quartalsbericht</w:t>
      </w:r>
      <w:r w:rsidRPr="00B30C8C">
        <w:rPr>
          <w:rFonts w:ascii="Arial" w:hAnsi="Arial" w:cs="Arial"/>
          <w:i/>
          <w:sz w:val="22"/>
          <w:szCs w:val="22"/>
        </w:rPr>
        <w:t xml:space="preserve"> </w:t>
      </w:r>
      <w:r w:rsidRPr="00410029">
        <w:rPr>
          <w:rFonts w:ascii="Arial" w:hAnsi="Arial" w:cs="Arial"/>
          <w:i/>
          <w:sz w:val="22"/>
          <w:szCs w:val="22"/>
        </w:rPr>
        <w:t xml:space="preserve">können Sie herunterladen unter </w:t>
      </w:r>
      <w:hyperlink r:id="rId9" w:history="1">
        <w:r w:rsidR="00B91CA1" w:rsidRPr="00410029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  <w:r w:rsidR="00DF6351" w:rsidRPr="00DF6351">
        <w:rPr>
          <w:rFonts w:ascii="Arial" w:hAnsi="Arial" w:cs="Arial"/>
          <w:i/>
          <w:sz w:val="21"/>
          <w:szCs w:val="21"/>
        </w:rPr>
        <w:t xml:space="preserve"> </w:t>
      </w:r>
    </w:p>
    <w:p w14:paraId="65D38F31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00293CB2" w14:textId="4C9A6DC4" w:rsidR="005E0BBB" w:rsidRDefault="003E43B4" w:rsidP="005E0BBB">
      <w:pPr>
        <w:pStyle w:val="MMKurzprofil"/>
      </w:pPr>
      <w:r w:rsidRPr="0015152B">
        <w:t xml:space="preserve">Leoni </w:t>
      </w:r>
      <w:r w:rsidR="00D74838" w:rsidRPr="0015152B">
        <w:t xml:space="preserve">ist ein weltweit tätiger Anbieter von Drähten, optischen Fasern, Kabeln und Kabelsystemen sowie zugehörigen Dienstleistungen für den Automobilbereich und weitere Industrien. </w:t>
      </w:r>
      <w:r w:rsidR="004D2FCB" w:rsidRPr="0015152B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15152B">
        <w:t>Die im deutschen MDAX börsennotierte Unternehmensgruppe beschäftigt</w:t>
      </w:r>
      <w:r w:rsidR="000C42C6" w:rsidRPr="0015152B">
        <w:t xml:space="preserve"> </w:t>
      </w:r>
      <w:r w:rsidR="00285720" w:rsidRPr="0015152B">
        <w:t>rund</w:t>
      </w:r>
      <w:r w:rsidR="000C42C6" w:rsidRPr="0015152B">
        <w:t xml:space="preserve"> 7</w:t>
      </w:r>
      <w:r w:rsidR="000E0FD8" w:rsidRPr="0015152B">
        <w:t>5</w:t>
      </w:r>
      <w:r w:rsidR="008E7760" w:rsidRPr="0015152B">
        <w:t xml:space="preserve">.000 Mitarbeiter in </w:t>
      </w:r>
      <w:r w:rsidR="00662990" w:rsidRPr="0015152B">
        <w:t>31</w:t>
      </w:r>
      <w:r w:rsidR="008E7760" w:rsidRPr="0015152B">
        <w:t xml:space="preserve"> Ländern und erzielte 20</w:t>
      </w:r>
      <w:r w:rsidR="00977A5F" w:rsidRPr="0015152B">
        <w:t>1</w:t>
      </w:r>
      <w:r w:rsidR="00281258" w:rsidRPr="0015152B">
        <w:t>4</w:t>
      </w:r>
      <w:r w:rsidR="008E7760" w:rsidRPr="0015152B">
        <w:t xml:space="preserve"> einen Konzernumsatz von </w:t>
      </w:r>
      <w:r w:rsidR="00281258" w:rsidRPr="0015152B">
        <w:t>4,1</w:t>
      </w:r>
      <w:r w:rsidR="008E7760" w:rsidRPr="0015152B">
        <w:t xml:space="preserve"> Mrd. Euro</w:t>
      </w:r>
      <w:r w:rsidRPr="0015152B">
        <w:t>.</w:t>
      </w:r>
    </w:p>
    <w:p w14:paraId="490A2FBC" w14:textId="77777777" w:rsidR="00E569A0" w:rsidRPr="00E37AAC" w:rsidRDefault="00E569A0" w:rsidP="00E569A0">
      <w:pPr>
        <w:pStyle w:val="MMKurzprofil"/>
        <w:rPr>
          <w:sz w:val="8"/>
          <w:szCs w:val="8"/>
        </w:rPr>
      </w:pPr>
    </w:p>
    <w:p w14:paraId="26D62C8C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61F001C4" wp14:editId="4F8097C4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34B1E29" wp14:editId="43D0CA36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248" w14:textId="77777777" w:rsidR="008F5F48" w:rsidRPr="006D36F9" w:rsidRDefault="00441963" w:rsidP="006D36F9">
      <w:pPr>
        <w:pStyle w:val="MMKurzprofilberschrift"/>
      </w:pPr>
      <w:r w:rsidRPr="006D36F9">
        <w:lastRenderedPageBreak/>
        <w:t xml:space="preserve">Ansprechpartner für </w:t>
      </w:r>
      <w:r w:rsidR="0061798D" w:rsidRPr="006D36F9">
        <w:t>Journalisten</w:t>
      </w:r>
    </w:p>
    <w:p w14:paraId="67FF2934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42DCA0CF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2512003D" w14:textId="77777777" w:rsidR="009613DC" w:rsidRPr="006D36F9" w:rsidRDefault="009613DC" w:rsidP="006D36F9">
      <w:pPr>
        <w:pStyle w:val="MMKurzprofil"/>
      </w:pPr>
      <w:r>
        <w:t>LEONI AG</w:t>
      </w:r>
    </w:p>
    <w:p w14:paraId="3E9FF23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191CCBF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00CA0A0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0CACA" w15:done="0"/>
  <w15:commentEx w15:paraId="3C4A7A7F" w15:done="0"/>
  <w15:commentEx w15:paraId="0E4D7F93" w15:done="0"/>
  <w15:commentEx w15:paraId="38171676" w15:done="0"/>
  <w15:commentEx w15:paraId="4586698F" w15:done="0"/>
  <w15:commentEx w15:paraId="2DB845A4" w15:done="0"/>
  <w15:commentEx w15:paraId="543DFCAD" w15:done="0"/>
  <w15:commentEx w15:paraId="5C998E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22C" w14:textId="77777777" w:rsidR="00435334" w:rsidRPr="00A44C71" w:rsidRDefault="00435334">
      <w:pPr>
        <w:rPr>
          <w:sz w:val="16"/>
        </w:rPr>
      </w:pPr>
      <w:r>
        <w:separator/>
      </w:r>
    </w:p>
  </w:endnote>
  <w:endnote w:type="continuationSeparator" w:id="0">
    <w:p w14:paraId="0EFBD60D" w14:textId="77777777" w:rsidR="00435334" w:rsidRPr="00A44C71" w:rsidRDefault="00435334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6C97" w14:textId="77777777" w:rsidR="00435334" w:rsidRPr="009A05EE" w:rsidRDefault="00435334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11752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11752">
      <w:rPr>
        <w:rStyle w:val="Seitenzahl"/>
        <w:rFonts w:ascii="Arial" w:hAnsi="Arial" w:cs="Arial"/>
        <w:i/>
        <w:noProof/>
        <w:sz w:val="16"/>
        <w:szCs w:val="16"/>
      </w:rPr>
      <w:t>5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48B0B4AC" w14:textId="77777777" w:rsidR="00435334" w:rsidRPr="009F6805" w:rsidRDefault="00435334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BB85" w14:textId="77777777" w:rsidR="00435334" w:rsidRPr="00406709" w:rsidRDefault="00435334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3369AEB1" w14:textId="77777777" w:rsidR="00435334" w:rsidRPr="00406709" w:rsidRDefault="00435334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85F79D0" w14:textId="77777777" w:rsidR="00435334" w:rsidRPr="00406709" w:rsidRDefault="00435334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01D125A4" w14:textId="77777777" w:rsidR="00435334" w:rsidRPr="00406709" w:rsidRDefault="00435334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4F9DA878" w14:textId="77777777" w:rsidR="00435334" w:rsidRPr="00406709" w:rsidRDefault="00435334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14:paraId="6E54DDA8" w14:textId="77777777" w:rsidR="00435334" w:rsidRDefault="00435334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3FC0" w14:textId="77777777" w:rsidR="00435334" w:rsidRPr="00A44C71" w:rsidRDefault="00435334">
      <w:pPr>
        <w:rPr>
          <w:sz w:val="16"/>
        </w:rPr>
      </w:pPr>
      <w:r>
        <w:separator/>
      </w:r>
    </w:p>
  </w:footnote>
  <w:footnote w:type="continuationSeparator" w:id="0">
    <w:p w14:paraId="2361AB7F" w14:textId="77777777" w:rsidR="00435334" w:rsidRPr="00A44C71" w:rsidRDefault="00435334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A3EA" w14:textId="77777777" w:rsidR="00435334" w:rsidRPr="00F17738" w:rsidRDefault="0043533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19B4FB4" w14:textId="77777777" w:rsidR="00435334" w:rsidRPr="00F17738" w:rsidRDefault="0043533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E4D846E" w14:textId="77777777" w:rsidR="00435334" w:rsidRPr="00F17738" w:rsidRDefault="0043533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A733CF" wp14:editId="2E7B73A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E5A36" w14:textId="77777777" w:rsidR="00435334" w:rsidRDefault="00435334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033792D3" w14:textId="37CB77DB" w:rsidR="00435334" w:rsidRPr="006D36F9" w:rsidRDefault="00435334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PRESSEMITTEILUNG</w:t>
    </w:r>
  </w:p>
  <w:p w14:paraId="06086DE4" w14:textId="77777777" w:rsidR="00435334" w:rsidRPr="00F17738" w:rsidRDefault="0043533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C6C7104" w14:textId="77777777" w:rsidR="00435334" w:rsidRPr="00F17738" w:rsidRDefault="0043533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385EDE" w14:textId="77777777" w:rsidR="00435334" w:rsidRPr="00F17738" w:rsidRDefault="0043533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89C2C9E" w14:textId="77777777" w:rsidR="00435334" w:rsidRPr="006F0BE8" w:rsidRDefault="00435334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3D96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6405679A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3E645D0E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2B52C152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20CF3B76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11187C4" wp14:editId="289254D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DB15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3F699DD4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51D8A8C1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7FCECCAD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3B8EFD83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  <w:p w14:paraId="77A05D62" w14:textId="77777777" w:rsidR="00435334" w:rsidRPr="00F17738" w:rsidRDefault="00435334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27E7"/>
    <w:multiLevelType w:val="hybridMultilevel"/>
    <w:tmpl w:val="E6CCA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ith Mayer">
    <w15:presenceInfo w15:providerId="AD" w15:userId="S-1-5-21-1177238915-1770027372-725345543-16491"/>
  </w15:person>
  <w15:person w15:author="Judith Mayer [2]">
    <w15:presenceInfo w15:providerId="AD" w15:userId="S-1-5-21-1177238915-1770027372-725345543-16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355"/>
    <w:rsid w:val="00006C13"/>
    <w:rsid w:val="00006D33"/>
    <w:rsid w:val="000079E4"/>
    <w:rsid w:val="00013A64"/>
    <w:rsid w:val="0001653D"/>
    <w:rsid w:val="0002408F"/>
    <w:rsid w:val="00025061"/>
    <w:rsid w:val="00026A19"/>
    <w:rsid w:val="00027F25"/>
    <w:rsid w:val="0003149A"/>
    <w:rsid w:val="00033C5A"/>
    <w:rsid w:val="000453F9"/>
    <w:rsid w:val="000671BD"/>
    <w:rsid w:val="00072185"/>
    <w:rsid w:val="00077B36"/>
    <w:rsid w:val="00077D0C"/>
    <w:rsid w:val="00091053"/>
    <w:rsid w:val="00091657"/>
    <w:rsid w:val="0009633F"/>
    <w:rsid w:val="000A0089"/>
    <w:rsid w:val="000A0822"/>
    <w:rsid w:val="000A32BC"/>
    <w:rsid w:val="000A50AC"/>
    <w:rsid w:val="000A7B89"/>
    <w:rsid w:val="000B3BF8"/>
    <w:rsid w:val="000B3D4A"/>
    <w:rsid w:val="000B5865"/>
    <w:rsid w:val="000B763A"/>
    <w:rsid w:val="000C02B1"/>
    <w:rsid w:val="000C42C6"/>
    <w:rsid w:val="000D5167"/>
    <w:rsid w:val="000E0FD8"/>
    <w:rsid w:val="000E480B"/>
    <w:rsid w:val="000E58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3DEA"/>
    <w:rsid w:val="00134E77"/>
    <w:rsid w:val="00141D22"/>
    <w:rsid w:val="001423FE"/>
    <w:rsid w:val="001454B6"/>
    <w:rsid w:val="0015152B"/>
    <w:rsid w:val="00151D75"/>
    <w:rsid w:val="00152D54"/>
    <w:rsid w:val="001557B0"/>
    <w:rsid w:val="001562EC"/>
    <w:rsid w:val="00157707"/>
    <w:rsid w:val="00157C54"/>
    <w:rsid w:val="00163BF2"/>
    <w:rsid w:val="00172DBF"/>
    <w:rsid w:val="001734DC"/>
    <w:rsid w:val="00182E02"/>
    <w:rsid w:val="00184530"/>
    <w:rsid w:val="0018564D"/>
    <w:rsid w:val="001904D1"/>
    <w:rsid w:val="001917D1"/>
    <w:rsid w:val="001A0E04"/>
    <w:rsid w:val="001A26F1"/>
    <w:rsid w:val="001A2D37"/>
    <w:rsid w:val="001A6441"/>
    <w:rsid w:val="001B194E"/>
    <w:rsid w:val="001B37E3"/>
    <w:rsid w:val="001B4583"/>
    <w:rsid w:val="001B4D85"/>
    <w:rsid w:val="001B621B"/>
    <w:rsid w:val="001C0CC3"/>
    <w:rsid w:val="001C4413"/>
    <w:rsid w:val="001C5493"/>
    <w:rsid w:val="001C7543"/>
    <w:rsid w:val="001D1011"/>
    <w:rsid w:val="001D1868"/>
    <w:rsid w:val="001D2CDB"/>
    <w:rsid w:val="001D4EB5"/>
    <w:rsid w:val="001E3D9C"/>
    <w:rsid w:val="001E7FBC"/>
    <w:rsid w:val="001F1C6E"/>
    <w:rsid w:val="00200C3E"/>
    <w:rsid w:val="00205474"/>
    <w:rsid w:val="00207FC6"/>
    <w:rsid w:val="00210A16"/>
    <w:rsid w:val="00211D05"/>
    <w:rsid w:val="00212EE8"/>
    <w:rsid w:val="002146CB"/>
    <w:rsid w:val="00227406"/>
    <w:rsid w:val="002313FF"/>
    <w:rsid w:val="002317DC"/>
    <w:rsid w:val="00240866"/>
    <w:rsid w:val="00241144"/>
    <w:rsid w:val="00245B16"/>
    <w:rsid w:val="00245C9E"/>
    <w:rsid w:val="00252C67"/>
    <w:rsid w:val="00260A78"/>
    <w:rsid w:val="002630D8"/>
    <w:rsid w:val="00264325"/>
    <w:rsid w:val="00271757"/>
    <w:rsid w:val="00274295"/>
    <w:rsid w:val="00274BF6"/>
    <w:rsid w:val="00281258"/>
    <w:rsid w:val="00285720"/>
    <w:rsid w:val="002929B6"/>
    <w:rsid w:val="002956A9"/>
    <w:rsid w:val="0029603C"/>
    <w:rsid w:val="002A37A2"/>
    <w:rsid w:val="002A4D33"/>
    <w:rsid w:val="002A71D3"/>
    <w:rsid w:val="002B325C"/>
    <w:rsid w:val="002B4FCE"/>
    <w:rsid w:val="002B68C4"/>
    <w:rsid w:val="002B7AC7"/>
    <w:rsid w:val="002B7BFA"/>
    <w:rsid w:val="002C118D"/>
    <w:rsid w:val="002C2359"/>
    <w:rsid w:val="002D3B75"/>
    <w:rsid w:val="002E10D2"/>
    <w:rsid w:val="002E50D3"/>
    <w:rsid w:val="003118F1"/>
    <w:rsid w:val="00313CD5"/>
    <w:rsid w:val="00315FE3"/>
    <w:rsid w:val="00316E24"/>
    <w:rsid w:val="00317638"/>
    <w:rsid w:val="00320044"/>
    <w:rsid w:val="003237A6"/>
    <w:rsid w:val="0032717C"/>
    <w:rsid w:val="00333FE1"/>
    <w:rsid w:val="0034052F"/>
    <w:rsid w:val="00340E9C"/>
    <w:rsid w:val="003527A8"/>
    <w:rsid w:val="003546DE"/>
    <w:rsid w:val="00356E80"/>
    <w:rsid w:val="003571D5"/>
    <w:rsid w:val="00361CF2"/>
    <w:rsid w:val="00362050"/>
    <w:rsid w:val="00364DCD"/>
    <w:rsid w:val="00365E12"/>
    <w:rsid w:val="00366E10"/>
    <w:rsid w:val="00376B43"/>
    <w:rsid w:val="00382198"/>
    <w:rsid w:val="00382CB3"/>
    <w:rsid w:val="00397AC4"/>
    <w:rsid w:val="003A2196"/>
    <w:rsid w:val="003B48A6"/>
    <w:rsid w:val="003C6AAE"/>
    <w:rsid w:val="003D216E"/>
    <w:rsid w:val="003D2799"/>
    <w:rsid w:val="003D36FD"/>
    <w:rsid w:val="003D4F5D"/>
    <w:rsid w:val="003E43B4"/>
    <w:rsid w:val="003E4B96"/>
    <w:rsid w:val="003E50A5"/>
    <w:rsid w:val="003E7A45"/>
    <w:rsid w:val="003F1AB5"/>
    <w:rsid w:val="003F74D0"/>
    <w:rsid w:val="00402BF4"/>
    <w:rsid w:val="00404468"/>
    <w:rsid w:val="00410029"/>
    <w:rsid w:val="00420BD0"/>
    <w:rsid w:val="00432245"/>
    <w:rsid w:val="00435334"/>
    <w:rsid w:val="00436598"/>
    <w:rsid w:val="00441011"/>
    <w:rsid w:val="00441012"/>
    <w:rsid w:val="00441963"/>
    <w:rsid w:val="0044413D"/>
    <w:rsid w:val="00446315"/>
    <w:rsid w:val="00450393"/>
    <w:rsid w:val="0045071B"/>
    <w:rsid w:val="004547BF"/>
    <w:rsid w:val="00457A28"/>
    <w:rsid w:val="004627A1"/>
    <w:rsid w:val="00473340"/>
    <w:rsid w:val="00473E7D"/>
    <w:rsid w:val="00476B0F"/>
    <w:rsid w:val="0047745A"/>
    <w:rsid w:val="004803C6"/>
    <w:rsid w:val="00482296"/>
    <w:rsid w:val="004826F0"/>
    <w:rsid w:val="004862BB"/>
    <w:rsid w:val="004875FF"/>
    <w:rsid w:val="0049418D"/>
    <w:rsid w:val="004A1653"/>
    <w:rsid w:val="004A2754"/>
    <w:rsid w:val="004A457B"/>
    <w:rsid w:val="004B0623"/>
    <w:rsid w:val="004B0672"/>
    <w:rsid w:val="004B3DB8"/>
    <w:rsid w:val="004B4584"/>
    <w:rsid w:val="004B4CC2"/>
    <w:rsid w:val="004C72E7"/>
    <w:rsid w:val="004D2CD5"/>
    <w:rsid w:val="004D2FCB"/>
    <w:rsid w:val="004E29FC"/>
    <w:rsid w:val="004F038C"/>
    <w:rsid w:val="004F2266"/>
    <w:rsid w:val="004F7079"/>
    <w:rsid w:val="00500004"/>
    <w:rsid w:val="00500B29"/>
    <w:rsid w:val="005072AE"/>
    <w:rsid w:val="00513705"/>
    <w:rsid w:val="00514260"/>
    <w:rsid w:val="00516B60"/>
    <w:rsid w:val="0052538C"/>
    <w:rsid w:val="005258BF"/>
    <w:rsid w:val="00525A9A"/>
    <w:rsid w:val="00526F46"/>
    <w:rsid w:val="0052757E"/>
    <w:rsid w:val="005302CE"/>
    <w:rsid w:val="00533F65"/>
    <w:rsid w:val="00540F3D"/>
    <w:rsid w:val="005415ED"/>
    <w:rsid w:val="00543C34"/>
    <w:rsid w:val="005448AB"/>
    <w:rsid w:val="005456EE"/>
    <w:rsid w:val="00547D6D"/>
    <w:rsid w:val="00547FEC"/>
    <w:rsid w:val="00553180"/>
    <w:rsid w:val="00557666"/>
    <w:rsid w:val="00560D63"/>
    <w:rsid w:val="00560E65"/>
    <w:rsid w:val="00585319"/>
    <w:rsid w:val="005B227D"/>
    <w:rsid w:val="005B3132"/>
    <w:rsid w:val="005B4DC3"/>
    <w:rsid w:val="005B5619"/>
    <w:rsid w:val="005B571C"/>
    <w:rsid w:val="005C5351"/>
    <w:rsid w:val="005D183A"/>
    <w:rsid w:val="005D4C87"/>
    <w:rsid w:val="005D550E"/>
    <w:rsid w:val="005D6FB1"/>
    <w:rsid w:val="005D7530"/>
    <w:rsid w:val="005E0BBB"/>
    <w:rsid w:val="005E4289"/>
    <w:rsid w:val="005F3581"/>
    <w:rsid w:val="005F5E8B"/>
    <w:rsid w:val="00600E53"/>
    <w:rsid w:val="0060693A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1F7"/>
    <w:rsid w:val="00661F0B"/>
    <w:rsid w:val="00662990"/>
    <w:rsid w:val="00664A24"/>
    <w:rsid w:val="00664B49"/>
    <w:rsid w:val="006657AC"/>
    <w:rsid w:val="0067639A"/>
    <w:rsid w:val="0068052B"/>
    <w:rsid w:val="00682596"/>
    <w:rsid w:val="00683EF3"/>
    <w:rsid w:val="006909D0"/>
    <w:rsid w:val="00691AA8"/>
    <w:rsid w:val="00691F37"/>
    <w:rsid w:val="00696943"/>
    <w:rsid w:val="006A76CA"/>
    <w:rsid w:val="006B37F1"/>
    <w:rsid w:val="006B7D9C"/>
    <w:rsid w:val="006C5546"/>
    <w:rsid w:val="006C58DA"/>
    <w:rsid w:val="006C5B07"/>
    <w:rsid w:val="006C5B9E"/>
    <w:rsid w:val="006C6A78"/>
    <w:rsid w:val="006D36F9"/>
    <w:rsid w:val="006E0029"/>
    <w:rsid w:val="006E3BBB"/>
    <w:rsid w:val="006E40AC"/>
    <w:rsid w:val="006E7CEB"/>
    <w:rsid w:val="006F0BE8"/>
    <w:rsid w:val="006F435B"/>
    <w:rsid w:val="006F4393"/>
    <w:rsid w:val="006F49FA"/>
    <w:rsid w:val="006F78FE"/>
    <w:rsid w:val="00711752"/>
    <w:rsid w:val="00712909"/>
    <w:rsid w:val="00720539"/>
    <w:rsid w:val="00721853"/>
    <w:rsid w:val="0072336A"/>
    <w:rsid w:val="007263F9"/>
    <w:rsid w:val="00726628"/>
    <w:rsid w:val="00736455"/>
    <w:rsid w:val="007420F8"/>
    <w:rsid w:val="00742E26"/>
    <w:rsid w:val="00746469"/>
    <w:rsid w:val="0075567E"/>
    <w:rsid w:val="00763DA5"/>
    <w:rsid w:val="00765E37"/>
    <w:rsid w:val="00772C01"/>
    <w:rsid w:val="007747B6"/>
    <w:rsid w:val="00783025"/>
    <w:rsid w:val="00783A5E"/>
    <w:rsid w:val="007864F1"/>
    <w:rsid w:val="00793DE9"/>
    <w:rsid w:val="00794757"/>
    <w:rsid w:val="007C3759"/>
    <w:rsid w:val="007D4BEC"/>
    <w:rsid w:val="007D765B"/>
    <w:rsid w:val="007D7D60"/>
    <w:rsid w:val="007F3212"/>
    <w:rsid w:val="008045E1"/>
    <w:rsid w:val="008176B2"/>
    <w:rsid w:val="00821BA4"/>
    <w:rsid w:val="00824830"/>
    <w:rsid w:val="0083522C"/>
    <w:rsid w:val="008446CD"/>
    <w:rsid w:val="00851B0D"/>
    <w:rsid w:val="00856676"/>
    <w:rsid w:val="00862325"/>
    <w:rsid w:val="008657FE"/>
    <w:rsid w:val="008779CE"/>
    <w:rsid w:val="00880A8F"/>
    <w:rsid w:val="00883645"/>
    <w:rsid w:val="008920B0"/>
    <w:rsid w:val="0089546A"/>
    <w:rsid w:val="008A3D5F"/>
    <w:rsid w:val="008A424F"/>
    <w:rsid w:val="008B1883"/>
    <w:rsid w:val="008B40A3"/>
    <w:rsid w:val="008B617B"/>
    <w:rsid w:val="008C0195"/>
    <w:rsid w:val="008C2253"/>
    <w:rsid w:val="008D26BA"/>
    <w:rsid w:val="008D3EDA"/>
    <w:rsid w:val="008D412D"/>
    <w:rsid w:val="008D5F1D"/>
    <w:rsid w:val="008D6717"/>
    <w:rsid w:val="008E1582"/>
    <w:rsid w:val="008E3BE4"/>
    <w:rsid w:val="008E7760"/>
    <w:rsid w:val="008F1003"/>
    <w:rsid w:val="008F5F48"/>
    <w:rsid w:val="0090422E"/>
    <w:rsid w:val="00906898"/>
    <w:rsid w:val="00920CF3"/>
    <w:rsid w:val="00921AB7"/>
    <w:rsid w:val="00930000"/>
    <w:rsid w:val="00936962"/>
    <w:rsid w:val="0094334C"/>
    <w:rsid w:val="00951375"/>
    <w:rsid w:val="009613DC"/>
    <w:rsid w:val="00961415"/>
    <w:rsid w:val="00962661"/>
    <w:rsid w:val="00964044"/>
    <w:rsid w:val="00966BBB"/>
    <w:rsid w:val="00967E91"/>
    <w:rsid w:val="009714B0"/>
    <w:rsid w:val="00971DD9"/>
    <w:rsid w:val="00977A5F"/>
    <w:rsid w:val="00977A87"/>
    <w:rsid w:val="00984F8E"/>
    <w:rsid w:val="0098756C"/>
    <w:rsid w:val="00990335"/>
    <w:rsid w:val="00995F0D"/>
    <w:rsid w:val="009A05EE"/>
    <w:rsid w:val="009A1070"/>
    <w:rsid w:val="009A20E3"/>
    <w:rsid w:val="009A48B0"/>
    <w:rsid w:val="009B1F1B"/>
    <w:rsid w:val="009B48FF"/>
    <w:rsid w:val="009B564D"/>
    <w:rsid w:val="009B7ECB"/>
    <w:rsid w:val="009C5340"/>
    <w:rsid w:val="009C6B13"/>
    <w:rsid w:val="009E0942"/>
    <w:rsid w:val="009E188F"/>
    <w:rsid w:val="009E32AD"/>
    <w:rsid w:val="009F1142"/>
    <w:rsid w:val="009F6805"/>
    <w:rsid w:val="009F752B"/>
    <w:rsid w:val="00A12538"/>
    <w:rsid w:val="00A17CAC"/>
    <w:rsid w:val="00A23768"/>
    <w:rsid w:val="00A27173"/>
    <w:rsid w:val="00A34AA7"/>
    <w:rsid w:val="00A3721C"/>
    <w:rsid w:val="00A42BE2"/>
    <w:rsid w:val="00A54DDA"/>
    <w:rsid w:val="00A55EF3"/>
    <w:rsid w:val="00A63DF9"/>
    <w:rsid w:val="00A641D9"/>
    <w:rsid w:val="00A643F8"/>
    <w:rsid w:val="00A66992"/>
    <w:rsid w:val="00A708D7"/>
    <w:rsid w:val="00A76415"/>
    <w:rsid w:val="00A76A3E"/>
    <w:rsid w:val="00A77BFE"/>
    <w:rsid w:val="00A96186"/>
    <w:rsid w:val="00AA09F4"/>
    <w:rsid w:val="00AA2A8D"/>
    <w:rsid w:val="00AA4C14"/>
    <w:rsid w:val="00AB1994"/>
    <w:rsid w:val="00AC17F0"/>
    <w:rsid w:val="00AC2AE0"/>
    <w:rsid w:val="00AC7A23"/>
    <w:rsid w:val="00AD3E26"/>
    <w:rsid w:val="00AE1DF1"/>
    <w:rsid w:val="00AE425A"/>
    <w:rsid w:val="00AE43B7"/>
    <w:rsid w:val="00AF0A61"/>
    <w:rsid w:val="00AF1913"/>
    <w:rsid w:val="00B1340F"/>
    <w:rsid w:val="00B139E4"/>
    <w:rsid w:val="00B164DD"/>
    <w:rsid w:val="00B270D9"/>
    <w:rsid w:val="00B30C8C"/>
    <w:rsid w:val="00B3540F"/>
    <w:rsid w:val="00B41441"/>
    <w:rsid w:val="00B45E40"/>
    <w:rsid w:val="00B466F2"/>
    <w:rsid w:val="00B53BAB"/>
    <w:rsid w:val="00B57BC8"/>
    <w:rsid w:val="00B653FB"/>
    <w:rsid w:val="00B6668B"/>
    <w:rsid w:val="00B67561"/>
    <w:rsid w:val="00B70532"/>
    <w:rsid w:val="00B70B1A"/>
    <w:rsid w:val="00B71C6F"/>
    <w:rsid w:val="00B7428E"/>
    <w:rsid w:val="00B8478A"/>
    <w:rsid w:val="00B85921"/>
    <w:rsid w:val="00B91CA1"/>
    <w:rsid w:val="00B96DE2"/>
    <w:rsid w:val="00B97F01"/>
    <w:rsid w:val="00BA0052"/>
    <w:rsid w:val="00BB0705"/>
    <w:rsid w:val="00BB1A73"/>
    <w:rsid w:val="00BB3C30"/>
    <w:rsid w:val="00BC2558"/>
    <w:rsid w:val="00BC2E8B"/>
    <w:rsid w:val="00BC5FE7"/>
    <w:rsid w:val="00BD22AC"/>
    <w:rsid w:val="00BD2643"/>
    <w:rsid w:val="00BD4058"/>
    <w:rsid w:val="00BD64D4"/>
    <w:rsid w:val="00BE568B"/>
    <w:rsid w:val="00BE78C2"/>
    <w:rsid w:val="00BF4F29"/>
    <w:rsid w:val="00BF5681"/>
    <w:rsid w:val="00BF7DEC"/>
    <w:rsid w:val="00C019EB"/>
    <w:rsid w:val="00C03D20"/>
    <w:rsid w:val="00C108BC"/>
    <w:rsid w:val="00C11645"/>
    <w:rsid w:val="00C1516A"/>
    <w:rsid w:val="00C16450"/>
    <w:rsid w:val="00C32C07"/>
    <w:rsid w:val="00C34BE7"/>
    <w:rsid w:val="00C428F9"/>
    <w:rsid w:val="00C42E5B"/>
    <w:rsid w:val="00C440BC"/>
    <w:rsid w:val="00C4480F"/>
    <w:rsid w:val="00C4636C"/>
    <w:rsid w:val="00C5776E"/>
    <w:rsid w:val="00C6770A"/>
    <w:rsid w:val="00C70F49"/>
    <w:rsid w:val="00C7427E"/>
    <w:rsid w:val="00C7562D"/>
    <w:rsid w:val="00C764E9"/>
    <w:rsid w:val="00C900A9"/>
    <w:rsid w:val="00C95498"/>
    <w:rsid w:val="00C95DD8"/>
    <w:rsid w:val="00C96EBA"/>
    <w:rsid w:val="00CA02F5"/>
    <w:rsid w:val="00CA481B"/>
    <w:rsid w:val="00CA4B57"/>
    <w:rsid w:val="00CA5B41"/>
    <w:rsid w:val="00CB37E5"/>
    <w:rsid w:val="00CB52D0"/>
    <w:rsid w:val="00CC215A"/>
    <w:rsid w:val="00CC7504"/>
    <w:rsid w:val="00CD1608"/>
    <w:rsid w:val="00CE1CD9"/>
    <w:rsid w:val="00CF6078"/>
    <w:rsid w:val="00D04407"/>
    <w:rsid w:val="00D1225B"/>
    <w:rsid w:val="00D15735"/>
    <w:rsid w:val="00D22ED7"/>
    <w:rsid w:val="00D25166"/>
    <w:rsid w:val="00D313F7"/>
    <w:rsid w:val="00D413F1"/>
    <w:rsid w:val="00D47FA5"/>
    <w:rsid w:val="00D506D8"/>
    <w:rsid w:val="00D508A6"/>
    <w:rsid w:val="00D5108C"/>
    <w:rsid w:val="00D5605B"/>
    <w:rsid w:val="00D56A05"/>
    <w:rsid w:val="00D625CE"/>
    <w:rsid w:val="00D6261E"/>
    <w:rsid w:val="00D65513"/>
    <w:rsid w:val="00D65565"/>
    <w:rsid w:val="00D700B9"/>
    <w:rsid w:val="00D70404"/>
    <w:rsid w:val="00D738A7"/>
    <w:rsid w:val="00D74838"/>
    <w:rsid w:val="00D80DBE"/>
    <w:rsid w:val="00D90D76"/>
    <w:rsid w:val="00D963C7"/>
    <w:rsid w:val="00DA1E9A"/>
    <w:rsid w:val="00DA2F0D"/>
    <w:rsid w:val="00DA49A1"/>
    <w:rsid w:val="00DB2E93"/>
    <w:rsid w:val="00DB7221"/>
    <w:rsid w:val="00DB746B"/>
    <w:rsid w:val="00DC2CC0"/>
    <w:rsid w:val="00DC2D3E"/>
    <w:rsid w:val="00DD4C71"/>
    <w:rsid w:val="00DD5149"/>
    <w:rsid w:val="00DD5DCD"/>
    <w:rsid w:val="00DD67C1"/>
    <w:rsid w:val="00DE49DD"/>
    <w:rsid w:val="00DE4DF3"/>
    <w:rsid w:val="00DE590C"/>
    <w:rsid w:val="00DE78B5"/>
    <w:rsid w:val="00DF47A8"/>
    <w:rsid w:val="00DF6351"/>
    <w:rsid w:val="00E01673"/>
    <w:rsid w:val="00E02B7A"/>
    <w:rsid w:val="00E07055"/>
    <w:rsid w:val="00E21EAD"/>
    <w:rsid w:val="00E2445B"/>
    <w:rsid w:val="00E32461"/>
    <w:rsid w:val="00E33130"/>
    <w:rsid w:val="00E358C1"/>
    <w:rsid w:val="00E37AAC"/>
    <w:rsid w:val="00E40EB4"/>
    <w:rsid w:val="00E436DA"/>
    <w:rsid w:val="00E43922"/>
    <w:rsid w:val="00E45475"/>
    <w:rsid w:val="00E51DA4"/>
    <w:rsid w:val="00E53639"/>
    <w:rsid w:val="00E569A0"/>
    <w:rsid w:val="00E76BA0"/>
    <w:rsid w:val="00E83F4E"/>
    <w:rsid w:val="00E868B2"/>
    <w:rsid w:val="00E93051"/>
    <w:rsid w:val="00EA565B"/>
    <w:rsid w:val="00EB13B7"/>
    <w:rsid w:val="00EB524C"/>
    <w:rsid w:val="00EC0A0C"/>
    <w:rsid w:val="00EC0E74"/>
    <w:rsid w:val="00EC621F"/>
    <w:rsid w:val="00EC6520"/>
    <w:rsid w:val="00ED1040"/>
    <w:rsid w:val="00ED33ED"/>
    <w:rsid w:val="00ED47BD"/>
    <w:rsid w:val="00ED557D"/>
    <w:rsid w:val="00EE24A0"/>
    <w:rsid w:val="00EE3329"/>
    <w:rsid w:val="00EF262D"/>
    <w:rsid w:val="00EF38F2"/>
    <w:rsid w:val="00EF3F55"/>
    <w:rsid w:val="00F1236C"/>
    <w:rsid w:val="00F17981"/>
    <w:rsid w:val="00F21EA0"/>
    <w:rsid w:val="00F35C3A"/>
    <w:rsid w:val="00F37865"/>
    <w:rsid w:val="00F37EB7"/>
    <w:rsid w:val="00F45D66"/>
    <w:rsid w:val="00F6392A"/>
    <w:rsid w:val="00F64811"/>
    <w:rsid w:val="00F67138"/>
    <w:rsid w:val="00F737A1"/>
    <w:rsid w:val="00F73C92"/>
    <w:rsid w:val="00F74674"/>
    <w:rsid w:val="00F77BB5"/>
    <w:rsid w:val="00F80249"/>
    <w:rsid w:val="00F90257"/>
    <w:rsid w:val="00F915C2"/>
    <w:rsid w:val="00F91FB0"/>
    <w:rsid w:val="00F9437E"/>
    <w:rsid w:val="00F955C9"/>
    <w:rsid w:val="00FB3109"/>
    <w:rsid w:val="00FB5D6E"/>
    <w:rsid w:val="00FC2BA4"/>
    <w:rsid w:val="00FC33E9"/>
    <w:rsid w:val="00FC42AE"/>
    <w:rsid w:val="00FD3A9E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5B9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finanzpublikationen" TargetMode="External"/><Relationship Id="rId14" Type="http://schemas.openxmlformats.org/officeDocument/2006/relationships/hyperlink" Target="mailto:presse@leoni.com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5AEC-78FF-4D31-B9F4-C7ACCAD6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Pressemitteilungen</vt:lpstr>
    </vt:vector>
  </TitlesOfParts>
  <Manager>Sven Schmidt</Manager>
  <Company>LEONI</Company>
  <LinksUpToDate>false</LinksUpToDate>
  <CharactersWithSpaces>8716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Pressemitteilungen</dc:title>
  <dc:creator>Corporate Communications</dc:creator>
  <cp:lastModifiedBy>Schmidt, Sven</cp:lastModifiedBy>
  <cp:revision>2</cp:revision>
  <cp:lastPrinted>2015-11-09T10:18:00Z</cp:lastPrinted>
  <dcterms:created xsi:type="dcterms:W3CDTF">2015-11-09T18:37:00Z</dcterms:created>
  <dcterms:modified xsi:type="dcterms:W3CDTF">2015-11-09T18:37:00Z</dcterms:modified>
</cp:coreProperties>
</file>