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24ECAE" w14:textId="77777777" w:rsidR="001706DC" w:rsidRPr="00AC3E93" w:rsidRDefault="001706DC" w:rsidP="001706DC">
      <w:pPr>
        <w:pStyle w:val="MMU1"/>
        <w:rPr>
          <w:bCs w:val="0"/>
          <w:szCs w:val="24"/>
          <w:lang w:val="en-GB"/>
        </w:rPr>
      </w:pPr>
      <w:r w:rsidRPr="00AC3E93">
        <w:rPr>
          <w:bCs w:val="0"/>
          <w:szCs w:val="24"/>
          <w:lang w:val="en-GB"/>
        </w:rPr>
        <w:t xml:space="preserve">Leoni restructuring its wiring systems business  </w:t>
      </w:r>
    </w:p>
    <w:p w14:paraId="5B9896FE" w14:textId="77777777" w:rsidR="001706DC" w:rsidRPr="00AC3E93" w:rsidRDefault="001706DC" w:rsidP="001706DC">
      <w:pPr>
        <w:pStyle w:val="MMU2"/>
        <w:rPr>
          <w:rFonts w:cs="Times New Roman"/>
          <w:lang w:val="en-GB"/>
        </w:rPr>
      </w:pPr>
      <w:r w:rsidRPr="00AC3E93">
        <w:rPr>
          <w:rFonts w:cs="Times New Roman"/>
          <w:lang w:val="en-GB"/>
        </w:rPr>
        <w:t>Fiscal 2015 with sales growth – wiring system projects weighing on 2015 and 2016 EBIT</w:t>
      </w:r>
    </w:p>
    <w:p w14:paraId="07E56891" w14:textId="11042258" w:rsidR="001706DC" w:rsidRPr="00AC3E93" w:rsidRDefault="001706DC" w:rsidP="001706DC">
      <w:pPr>
        <w:pStyle w:val="MMVorspann"/>
        <w:rPr>
          <w:rFonts w:cs="Times New Roman"/>
          <w:bCs w:val="0"/>
          <w:szCs w:val="24"/>
          <w:lang w:val="en-GB"/>
        </w:rPr>
      </w:pPr>
      <w:r>
        <w:rPr>
          <w:rFonts w:cs="Times New Roman"/>
          <w:bCs w:val="0"/>
          <w:szCs w:val="24"/>
          <w:lang w:val="en-GB"/>
        </w:rPr>
        <w:t xml:space="preserve">Nuremberg, 23 March 2016 – Leoni, the leading European provider of cables and cable systems to the automotive sector and other industries, generated substantial sales growth to EUR 4.5 billion in 2015, which is a year-on-year increase of about 10 percent. </w:t>
      </w:r>
      <w:r w:rsidRPr="00AC3E93">
        <w:rPr>
          <w:rFonts w:cs="Times New Roman"/>
          <w:bCs w:val="0"/>
          <w:szCs w:val="24"/>
          <w:lang w:val="en-GB"/>
        </w:rPr>
        <w:t xml:space="preserve">Of this gain, 5.5 percent stemmed from the Company's own resources, with increased demand from both the automotive sector and numerous other industries. Earnings before interest and taxes (EBIT), however, dropped to EUR 151.3 million (previous year: EUR 182.5 million). This was due mainly to higher-than-planned expenses relating to new projects in the Wiring Systems Division in the third and fourth quarters. The figure furthermore includes non-recurring income of EUR 19.6 million from the sale of a share in a plant. Consolidated net income amounts to EUR 77.3 million (previous year: EUR 115.1 million). Leoni intends to pay out a dividend of EUR 1.00 per share (previous year: EUR 1.20). The Group has prepared a comprehensive package of measures, implementation of which has already begun, to boost profitability on a long-term basis. </w:t>
      </w:r>
    </w:p>
    <w:p w14:paraId="06E9316F" w14:textId="77777777" w:rsidR="001706DC" w:rsidRPr="00AC3E93" w:rsidRDefault="001706DC" w:rsidP="001706DC">
      <w:pPr>
        <w:pStyle w:val="MMFlietext"/>
        <w:rPr>
          <w:rFonts w:cs="Times New Roman"/>
          <w:szCs w:val="24"/>
          <w:lang w:val="en-GB"/>
        </w:rPr>
      </w:pPr>
      <w:r w:rsidRPr="00AC3E93">
        <w:rPr>
          <w:rFonts w:cs="Times New Roman"/>
          <w:szCs w:val="24"/>
          <w:lang w:val="en-GB"/>
        </w:rPr>
        <w:t xml:space="preserve">"2015 was a challenging year for the Company. Sales performance was encouraging, but earnings were disappointing. We are giving top priority to resolving the problems in our Wiring Systems Division: we have applied measures to achieve a sustained increase in efficiency," said Dieter Bellé, President &amp; CEO of Leoni AG, at the group of companies' balance sheet press conference. </w:t>
      </w:r>
    </w:p>
    <w:p w14:paraId="3B1A2FFD" w14:textId="77777777" w:rsidR="001706DC" w:rsidRPr="00224FD0" w:rsidRDefault="001706DC" w:rsidP="001706DC">
      <w:pPr>
        <w:pStyle w:val="MMZwischenberschrift"/>
        <w:rPr>
          <w:rFonts w:cs="Times New Roman"/>
          <w:szCs w:val="24"/>
          <w:lang w:val="en-US"/>
        </w:rPr>
      </w:pPr>
      <w:r w:rsidRPr="00224FD0">
        <w:rPr>
          <w:rFonts w:cs="Times New Roman"/>
          <w:szCs w:val="24"/>
          <w:lang w:val="en-US"/>
        </w:rPr>
        <w:t xml:space="preserve">WSD: 2016 marked by </w:t>
      </w:r>
      <w:proofErr w:type="spellStart"/>
      <w:r w:rsidRPr="00224FD0">
        <w:rPr>
          <w:rFonts w:cs="Times New Roman"/>
          <w:szCs w:val="24"/>
          <w:lang w:val="en-US"/>
        </w:rPr>
        <w:t>reorganisation</w:t>
      </w:r>
      <w:proofErr w:type="spellEnd"/>
      <w:r w:rsidRPr="00224FD0">
        <w:rPr>
          <w:rFonts w:cs="Times New Roman"/>
          <w:szCs w:val="24"/>
          <w:lang w:val="en-US"/>
        </w:rPr>
        <w:t xml:space="preserve">  </w:t>
      </w:r>
    </w:p>
    <w:p w14:paraId="76AFCD61" w14:textId="6AAE9C5A" w:rsidR="001706DC" w:rsidRDefault="001706DC" w:rsidP="001706DC">
      <w:pPr>
        <w:pStyle w:val="MMFlietext"/>
        <w:rPr>
          <w:rFonts w:cs="Times New Roman"/>
          <w:szCs w:val="24"/>
          <w:lang w:val="en-GB"/>
        </w:rPr>
      </w:pPr>
      <w:r w:rsidRPr="00AC3E93">
        <w:rPr>
          <w:rFonts w:cs="Times New Roman"/>
          <w:szCs w:val="24"/>
          <w:lang w:val="en-GB"/>
        </w:rPr>
        <w:t>The Wiring Systems Division (WSD) increased its sales by 11 percent to EUR 2,668 million du</w:t>
      </w:r>
      <w:r w:rsidR="00336F7B">
        <w:rPr>
          <w:rFonts w:cs="Times New Roman"/>
          <w:szCs w:val="24"/>
          <w:lang w:val="en-GB"/>
        </w:rPr>
        <w:t>ring the year under report (2014</w:t>
      </w:r>
      <w:bookmarkStart w:id="0" w:name="_GoBack"/>
      <w:bookmarkEnd w:id="0"/>
      <w:r w:rsidRPr="00AC3E93">
        <w:rPr>
          <w:rFonts w:cs="Times New Roman"/>
          <w:szCs w:val="24"/>
          <w:lang w:val="en-GB"/>
        </w:rPr>
        <w:t xml:space="preserve">: EUR 2,400 million). Sales to the export-heavyweight German carmakers recorded a particularly substantial increase. The WSD maintained its globalisation strategy by opening its fifth </w:t>
      </w:r>
      <w:r w:rsidRPr="00AC3E93">
        <w:rPr>
          <w:rFonts w:cs="Times New Roman"/>
          <w:szCs w:val="24"/>
          <w:lang w:val="en-GB"/>
        </w:rPr>
        <w:lastRenderedPageBreak/>
        <w:t xml:space="preserve">plant in </w:t>
      </w:r>
      <w:proofErr w:type="spellStart"/>
      <w:r w:rsidRPr="00AC3E93">
        <w:rPr>
          <w:rFonts w:cs="Times New Roman"/>
          <w:szCs w:val="24"/>
          <w:lang w:val="en-GB"/>
        </w:rPr>
        <w:t>Tieling</w:t>
      </w:r>
      <w:proofErr w:type="spellEnd"/>
      <w:r w:rsidRPr="00AC3E93">
        <w:rPr>
          <w:rFonts w:cs="Times New Roman"/>
          <w:szCs w:val="24"/>
          <w:lang w:val="en-GB"/>
        </w:rPr>
        <w:t xml:space="preserve">, China, agreeing a joint venture in China and opening a production facility in Paraguay. </w:t>
      </w:r>
      <w:r>
        <w:rPr>
          <w:rFonts w:cs="Times New Roman"/>
          <w:szCs w:val="24"/>
          <w:lang w:val="en-GB"/>
        </w:rPr>
        <w:t xml:space="preserve">The division furthermore succeeded in gaining the Asian carmakers Hyundai and </w:t>
      </w:r>
      <w:proofErr w:type="spellStart"/>
      <w:r>
        <w:rPr>
          <w:rFonts w:cs="Times New Roman"/>
          <w:szCs w:val="24"/>
          <w:lang w:val="en-GB"/>
        </w:rPr>
        <w:t>Geely</w:t>
      </w:r>
      <w:proofErr w:type="spellEnd"/>
      <w:r>
        <w:rPr>
          <w:rFonts w:cs="Times New Roman"/>
          <w:szCs w:val="24"/>
          <w:lang w:val="en-GB"/>
        </w:rPr>
        <w:t>/Volvo as customers; in total, the division booked orders worth EUR 4</w:t>
      </w:r>
      <w:r w:rsidR="0078200F">
        <w:rPr>
          <w:rFonts w:cs="Times New Roman"/>
          <w:szCs w:val="24"/>
          <w:lang w:val="en-GB"/>
        </w:rPr>
        <w:t>.</w:t>
      </w:r>
      <w:r>
        <w:rPr>
          <w:rFonts w:cs="Times New Roman"/>
          <w:szCs w:val="24"/>
          <w:lang w:val="en-GB"/>
        </w:rPr>
        <w:t>1 billion during the year under report.</w:t>
      </w:r>
    </w:p>
    <w:p w14:paraId="51670596" w14:textId="77777777" w:rsidR="001706DC" w:rsidRPr="00AC3E93" w:rsidRDefault="001706DC" w:rsidP="001706DC">
      <w:pPr>
        <w:pStyle w:val="MMFlietext"/>
        <w:rPr>
          <w:rFonts w:cs="Times New Roman"/>
          <w:szCs w:val="24"/>
          <w:lang w:val="en-GB"/>
        </w:rPr>
      </w:pPr>
      <w:r w:rsidRPr="00AC3E93">
        <w:rPr>
          <w:rFonts w:cs="Times New Roman"/>
          <w:szCs w:val="24"/>
          <w:lang w:val="en-GB"/>
        </w:rPr>
        <w:t>The division's EBIT contracted to EUR 87.4 million in fiscal 2015 (previous year: EUR 104.6 million), which includes the non-recurring income from having sold a share in a plant. The main reason for the significantly lower result involved massive increases in the costs of ramping up new projects. Dr Frank Hiller, member of Leoni AG's Management Board and in charge of the Wiring Systems Division, said: "We have launched a comprehensive efficiency programme to increase our profitability. Its implementation has already begun."</w:t>
      </w:r>
    </w:p>
    <w:p w14:paraId="784E355D" w14:textId="4FCD75FF" w:rsidR="001706DC" w:rsidRPr="00AC3E93" w:rsidRDefault="001706DC" w:rsidP="001706DC">
      <w:pPr>
        <w:pStyle w:val="MMFlietext"/>
        <w:rPr>
          <w:rFonts w:cs="Times New Roman"/>
          <w:szCs w:val="24"/>
          <w:lang w:val="en-GB"/>
        </w:rPr>
      </w:pPr>
      <w:r w:rsidRPr="00AC3E93">
        <w:rPr>
          <w:rFonts w:cs="Times New Roman"/>
          <w:szCs w:val="24"/>
          <w:lang w:val="en-GB"/>
        </w:rPr>
        <w:t xml:space="preserve">The first aim is to raise the performance of the projects that are the principal cause of the adverse effect on earnings. Secondly, Leoni will improve processes in project planning and </w:t>
      </w:r>
      <w:r w:rsidR="00017654">
        <w:rPr>
          <w:rFonts w:cs="Times New Roman"/>
          <w:szCs w:val="24"/>
          <w:lang w:val="en-GB"/>
        </w:rPr>
        <w:t>implementation</w:t>
      </w:r>
      <w:r w:rsidRPr="00AC3E93">
        <w:rPr>
          <w:rFonts w:cs="Times New Roman"/>
          <w:szCs w:val="24"/>
          <w:lang w:val="en-GB"/>
        </w:rPr>
        <w:t xml:space="preserve">. The third element is to streamline the matrix organisation to facilitate </w:t>
      </w:r>
      <w:r w:rsidR="00017654">
        <w:rPr>
          <w:rFonts w:cs="Times New Roman"/>
          <w:szCs w:val="24"/>
          <w:lang w:val="en-GB"/>
        </w:rPr>
        <w:t xml:space="preserve">short </w:t>
      </w:r>
      <w:r w:rsidRPr="00AC3E93">
        <w:rPr>
          <w:rFonts w:cs="Times New Roman"/>
          <w:szCs w:val="24"/>
          <w:lang w:val="en-GB"/>
        </w:rPr>
        <w:t>decision-making</w:t>
      </w:r>
      <w:r w:rsidR="00C12774">
        <w:rPr>
          <w:rFonts w:cs="Times New Roman"/>
          <w:szCs w:val="24"/>
          <w:lang w:val="en-GB"/>
        </w:rPr>
        <w:t xml:space="preserve"> processes</w:t>
      </w:r>
      <w:r w:rsidRPr="00AC3E93">
        <w:rPr>
          <w:rFonts w:cs="Times New Roman"/>
          <w:szCs w:val="24"/>
          <w:lang w:val="en-GB"/>
        </w:rPr>
        <w:t xml:space="preserve">, clear responsibilities and lower costs. </w:t>
      </w:r>
      <w:r>
        <w:rPr>
          <w:rFonts w:cs="Times New Roman"/>
          <w:szCs w:val="24"/>
          <w:lang w:val="en-GB"/>
        </w:rPr>
        <w:t xml:space="preserve">The package of measures will lead to a sustained increase in profitability, but in 2016 it will incur restructuring charges of approx. </w:t>
      </w:r>
      <w:r w:rsidRPr="001706DC">
        <w:rPr>
          <w:rFonts w:cs="Times New Roman"/>
          <w:szCs w:val="24"/>
          <w:lang w:val="en-US"/>
        </w:rPr>
        <w:t xml:space="preserve">EUR 25 million. </w:t>
      </w:r>
      <w:r>
        <w:rPr>
          <w:rFonts w:cs="Times New Roman"/>
          <w:szCs w:val="24"/>
          <w:lang w:val="en-GB"/>
        </w:rPr>
        <w:t xml:space="preserve">The Company has budgeted fiscal 2016 sales of EUR 2.6 billion and EBIT of EUR 30 million for its WSD segment.  </w:t>
      </w:r>
    </w:p>
    <w:p w14:paraId="6B6223DF" w14:textId="77777777" w:rsidR="001706DC" w:rsidRPr="00AC3E93" w:rsidRDefault="001706DC" w:rsidP="001706DC">
      <w:pPr>
        <w:pStyle w:val="MMZwischenberschrift"/>
        <w:rPr>
          <w:rFonts w:cs="Times New Roman"/>
          <w:szCs w:val="24"/>
          <w:lang w:val="en-GB"/>
        </w:rPr>
      </w:pPr>
      <w:r w:rsidRPr="00AC3E93">
        <w:rPr>
          <w:rFonts w:cs="Times New Roman"/>
          <w:szCs w:val="24"/>
          <w:lang w:val="en-GB"/>
        </w:rPr>
        <w:t xml:space="preserve">WCS: a sharper strategic focus </w:t>
      </w:r>
    </w:p>
    <w:p w14:paraId="2F072237" w14:textId="4341981C" w:rsidR="001706DC" w:rsidRDefault="001706DC" w:rsidP="001706DC">
      <w:pPr>
        <w:pStyle w:val="MMFlietext"/>
        <w:rPr>
          <w:rFonts w:cs="Times New Roman"/>
          <w:szCs w:val="24"/>
          <w:lang w:val="en-GB"/>
        </w:rPr>
      </w:pPr>
      <w:r w:rsidRPr="00AC3E93">
        <w:rPr>
          <w:rFonts w:cs="Times New Roman"/>
          <w:szCs w:val="24"/>
          <w:lang w:val="en-GB"/>
        </w:rPr>
        <w:t xml:space="preserve">The Wire &amp; Cable Solutions Division </w:t>
      </w:r>
      <w:r w:rsidR="00C12774">
        <w:rPr>
          <w:rFonts w:cs="Times New Roman"/>
          <w:szCs w:val="24"/>
          <w:lang w:val="en-GB"/>
        </w:rPr>
        <w:t xml:space="preserve">(WCS) </w:t>
      </w:r>
      <w:r w:rsidRPr="00AC3E93">
        <w:rPr>
          <w:rFonts w:cs="Times New Roman"/>
          <w:szCs w:val="24"/>
          <w:lang w:val="en-GB"/>
        </w:rPr>
        <w:t xml:space="preserve">benefited during the period under report from the still heavy demand for automotive cables as well as good performance of the business involving cables for industry and the healthcare sector. Sales were up by 8 percent to EUR 1,835 million (previous year: EUR 1,704 million). Having opened two new automotive cable plants in China and Mexico during the year under report established the conditions for further growth in Asia and the Americas. </w:t>
      </w:r>
      <w:r>
        <w:rPr>
          <w:rFonts w:cs="Times New Roman"/>
          <w:szCs w:val="24"/>
          <w:lang w:val="en-GB"/>
        </w:rPr>
        <w:t>Adverse foreign exchange rates, a lower copper price and write-downs on receivables exerted a diminishing effect on earnings – especially so in the 4</w:t>
      </w:r>
      <w:r>
        <w:rPr>
          <w:rFonts w:cs="Times New Roman"/>
          <w:szCs w:val="24"/>
          <w:vertAlign w:val="superscript"/>
          <w:lang w:val="en-GB"/>
        </w:rPr>
        <w:t>th</w:t>
      </w:r>
      <w:r>
        <w:rPr>
          <w:rFonts w:cs="Times New Roman"/>
          <w:szCs w:val="24"/>
          <w:lang w:val="en-GB"/>
        </w:rPr>
        <w:t xml:space="preserve"> quarter. The division’s EBIT amounts to EUR 6</w:t>
      </w:r>
      <w:r w:rsidR="00C12774">
        <w:rPr>
          <w:rFonts w:cs="Times New Roman"/>
          <w:szCs w:val="24"/>
          <w:lang w:val="en-GB"/>
        </w:rPr>
        <w:t>3.9</w:t>
      </w:r>
      <w:r>
        <w:rPr>
          <w:rFonts w:cs="Times New Roman"/>
          <w:szCs w:val="24"/>
          <w:lang w:val="en-GB"/>
        </w:rPr>
        <w:t xml:space="preserve"> million (previous year: EUR 78.1 million). </w:t>
      </w:r>
    </w:p>
    <w:p w14:paraId="3FB869BA" w14:textId="77777777" w:rsidR="001706DC" w:rsidRDefault="001706DC" w:rsidP="001706DC">
      <w:pPr>
        <w:pStyle w:val="MMFlietext"/>
        <w:rPr>
          <w:rFonts w:cs="Times New Roman"/>
          <w:szCs w:val="24"/>
          <w:lang w:val="en-GB"/>
        </w:rPr>
      </w:pPr>
      <w:r w:rsidRPr="00AC3E93">
        <w:rPr>
          <w:rFonts w:cs="Times New Roman"/>
          <w:szCs w:val="24"/>
          <w:lang w:val="en-GB"/>
        </w:rPr>
        <w:lastRenderedPageBreak/>
        <w:t xml:space="preserve">With the aim of strategic further growth, the division will sharpen the focus of its market activity and to that end will look into consolidating its portfolio. In addition to further strengthening of its position in the automotive cables market, the agenda includes expansion of select segments of industrial business. This will involve stepping up development towards being a solutions provider. </w:t>
      </w:r>
      <w:r>
        <w:rPr>
          <w:rFonts w:cs="Times New Roman"/>
          <w:szCs w:val="24"/>
          <w:lang w:val="en-GB"/>
        </w:rPr>
        <w:t>For the 2016 financial year, Leoni projects WCS Division sales of EUR 1.8 billion and EBIT of EUR 75 million, with this figure taking account of EUR 5 million in restructuring costs.</w:t>
      </w:r>
    </w:p>
    <w:p w14:paraId="20BCE4EE" w14:textId="77777777" w:rsidR="001706DC" w:rsidRPr="00AC3E93" w:rsidRDefault="001706DC" w:rsidP="001706DC">
      <w:pPr>
        <w:pStyle w:val="MMZwischenberschrift"/>
        <w:rPr>
          <w:rFonts w:cs="Times New Roman"/>
          <w:szCs w:val="24"/>
          <w:lang w:val="en-GB"/>
        </w:rPr>
      </w:pPr>
      <w:r w:rsidRPr="00AC3E93">
        <w:rPr>
          <w:rFonts w:cs="Times New Roman"/>
          <w:szCs w:val="24"/>
          <w:lang w:val="en-GB"/>
        </w:rPr>
        <w:t xml:space="preserve">Capital investment up by 15 percent  </w:t>
      </w:r>
    </w:p>
    <w:p w14:paraId="09A74892" w14:textId="6FBC9127" w:rsidR="001706DC" w:rsidRDefault="001706DC" w:rsidP="001706DC">
      <w:pPr>
        <w:pStyle w:val="MMFlietext"/>
        <w:rPr>
          <w:rFonts w:cs="Times New Roman"/>
          <w:szCs w:val="24"/>
          <w:lang w:val="en-GB"/>
        </w:rPr>
      </w:pPr>
      <w:r w:rsidRPr="00AC3E93">
        <w:rPr>
          <w:rFonts w:cs="Times New Roman"/>
          <w:szCs w:val="24"/>
          <w:lang w:val="en-GB"/>
        </w:rPr>
        <w:t xml:space="preserve">In the 2015 financial year, Leoni again invested heavily in property, plant and equipment as well as intangible assets in the record amount of EUR 247.5 million (previous year: EUR 215.8 million). Key projects outside Germany involved setting up the fifth wiring systems plant in China and constructing the first production facility in Paraguay as well as commissioning two new automotive cable plants in China and Mexico as well as a special cables production line in Eastern Europe. In Germany, the Company invested above all in the second modernisation phase of its Wiring Systems Division headquarters in Kitzingen, expanding production of high-speed data cables in </w:t>
      </w:r>
      <w:proofErr w:type="spellStart"/>
      <w:r w:rsidRPr="00AC3E93">
        <w:rPr>
          <w:rFonts w:cs="Times New Roman"/>
          <w:szCs w:val="24"/>
          <w:lang w:val="en-GB"/>
        </w:rPr>
        <w:t>Friesoythe</w:t>
      </w:r>
      <w:proofErr w:type="spellEnd"/>
      <w:r w:rsidRPr="00AC3E93">
        <w:rPr>
          <w:rFonts w:cs="Times New Roman"/>
          <w:szCs w:val="24"/>
          <w:lang w:val="en-GB"/>
        </w:rPr>
        <w:t xml:space="preserve"> as well as purchasing the site for the Factory of the Future in Roth.</w:t>
      </w:r>
    </w:p>
    <w:p w14:paraId="7197AECD" w14:textId="77777777" w:rsidR="001706DC" w:rsidRPr="00AC3E93" w:rsidRDefault="001706DC" w:rsidP="001706DC">
      <w:pPr>
        <w:pStyle w:val="MMZwischenberschrift"/>
        <w:rPr>
          <w:rFonts w:cs="Times New Roman"/>
          <w:szCs w:val="24"/>
          <w:lang w:val="en-GB"/>
        </w:rPr>
      </w:pPr>
      <w:r w:rsidRPr="00AC3E93">
        <w:rPr>
          <w:rFonts w:cs="Times New Roman"/>
          <w:szCs w:val="24"/>
          <w:lang w:val="en-GB"/>
        </w:rPr>
        <w:t>Financial situation: equity ratio still at a high level</w:t>
      </w:r>
    </w:p>
    <w:p w14:paraId="6319DD4A" w14:textId="5309664F" w:rsidR="001706DC" w:rsidRDefault="001706DC" w:rsidP="001706DC">
      <w:pPr>
        <w:pStyle w:val="MMFlietext"/>
        <w:rPr>
          <w:rFonts w:cs="Times New Roman"/>
          <w:szCs w:val="24"/>
          <w:lang w:val="en-GB"/>
        </w:rPr>
      </w:pPr>
      <w:r w:rsidRPr="00AC3E93">
        <w:rPr>
          <w:rFonts w:cs="Times New Roman"/>
          <w:szCs w:val="24"/>
          <w:lang w:val="en-GB"/>
        </w:rPr>
        <w:t xml:space="preserve">Leoni’s financial and asset situation continued to present a solid picture in 2015. </w:t>
      </w:r>
      <w:r>
        <w:rPr>
          <w:rFonts w:cs="Times New Roman"/>
          <w:szCs w:val="24"/>
          <w:lang w:val="en-GB"/>
        </w:rPr>
        <w:t xml:space="preserve">Equity was up by about 9 percent to EUR 996 million at yearend (previous year: EUR 918 million), while the equity ratio rose to 35.1 percent as of the reporting date (previous year: 34.4 percent). Leoni reduced its gearing from 34 to 32 percent. </w:t>
      </w:r>
    </w:p>
    <w:p w14:paraId="724B5298" w14:textId="77777777" w:rsidR="001706DC" w:rsidRDefault="001706DC" w:rsidP="001706DC">
      <w:pPr>
        <w:tabs>
          <w:tab w:val="left" w:pos="8505"/>
        </w:tabs>
        <w:spacing w:line="360" w:lineRule="auto"/>
        <w:ind w:right="1922"/>
        <w:rPr>
          <w:rFonts w:ascii="Arial" w:hAnsi="Arial"/>
          <w:lang w:val="en-GB"/>
        </w:rPr>
      </w:pPr>
      <w:r>
        <w:rPr>
          <w:rFonts w:ascii="Arial" w:hAnsi="Arial"/>
          <w:b/>
          <w:sz w:val="22"/>
          <w:lang w:val="en-GB"/>
        </w:rPr>
        <w:t xml:space="preserve">Forecast: 2016 EBIT affected by restructuring </w:t>
      </w:r>
    </w:p>
    <w:p w14:paraId="4EAC94F1" w14:textId="77777777" w:rsidR="001706DC" w:rsidRDefault="001706DC" w:rsidP="001706DC">
      <w:pPr>
        <w:pStyle w:val="MMFlietext"/>
        <w:rPr>
          <w:rFonts w:cs="Times New Roman"/>
          <w:szCs w:val="24"/>
          <w:lang w:val="en-GB"/>
        </w:rPr>
      </w:pPr>
      <w:r w:rsidRPr="00AC3E93">
        <w:rPr>
          <w:rFonts w:cs="Times New Roman"/>
          <w:szCs w:val="24"/>
          <w:lang w:val="en-GB"/>
        </w:rPr>
        <w:t xml:space="preserve">Due to the modest slowdown in the economies of the markets relevant to Leoni, lower metal prices and the no longer consolidated income from the joint venture in China, Leoni estimates a slight decrease in sales to EUR 4.4 billion for the current year. Alongside missing profit contributions, the critical wiring system projects, which are not generating the expected returns despite the </w:t>
      </w:r>
      <w:r w:rsidRPr="00AC3E93">
        <w:rPr>
          <w:rFonts w:cs="Times New Roman"/>
          <w:szCs w:val="24"/>
          <w:lang w:val="en-GB"/>
        </w:rPr>
        <w:lastRenderedPageBreak/>
        <w:t xml:space="preserve">measures initiated, will weigh on the result in 2016. In addition, there will be restructuring and exceptional expenses. Leoni therefore projects EBIT of EUR 105 million. </w:t>
      </w:r>
      <w:r>
        <w:rPr>
          <w:rFonts w:cs="Times New Roman"/>
          <w:szCs w:val="24"/>
          <w:lang w:val="en-GB"/>
        </w:rPr>
        <w:t xml:space="preserve">Compared with the previous year, the Company has reduced the amount of capital investment slightly to EUR 230 million. </w:t>
      </w:r>
    </w:p>
    <w:p w14:paraId="51A5A2BB" w14:textId="382F2C3E" w:rsidR="00E01A4E" w:rsidRPr="001706DC" w:rsidRDefault="001706DC" w:rsidP="001706DC">
      <w:pPr>
        <w:pStyle w:val="MMFlietext"/>
        <w:rPr>
          <w:lang w:val="en-US"/>
        </w:rPr>
      </w:pPr>
      <w:r w:rsidRPr="00AC3E93">
        <w:rPr>
          <w:rFonts w:cs="Times New Roman"/>
          <w:szCs w:val="24"/>
          <w:lang w:val="en-GB"/>
        </w:rPr>
        <w:t>In essence, the 2016 financial year will be marked by improving efficiency in order to return to a course of profit-oriented growth. The Company continues to operate in a very promising setting and has a substantial order backlog in both of its divisions. Further development of structures and market act</w:t>
      </w:r>
      <w:r>
        <w:rPr>
          <w:rFonts w:cs="Times New Roman"/>
          <w:szCs w:val="24"/>
          <w:lang w:val="en-GB"/>
        </w:rPr>
        <w:t>ivity will underpin the uptrend</w:t>
      </w:r>
      <w:r w:rsidR="000C33D0" w:rsidRPr="001706DC">
        <w:rPr>
          <w:lang w:val="en-US"/>
        </w:rPr>
        <w:t>.</w:t>
      </w:r>
      <w:r w:rsidR="00E01A4E" w:rsidRPr="001706DC">
        <w:rPr>
          <w:lang w:val="en-US"/>
        </w:rPr>
        <w:t xml:space="preserve"> </w:t>
      </w:r>
    </w:p>
    <w:p w14:paraId="3EBB97C4" w14:textId="4B5735CF" w:rsidR="00314F40" w:rsidRPr="00611654" w:rsidRDefault="00E01A4E" w:rsidP="006678E0">
      <w:pPr>
        <w:pStyle w:val="MMFlietext"/>
        <w:rPr>
          <w:i/>
          <w:lang w:val="en-US"/>
        </w:rPr>
      </w:pPr>
      <w:r w:rsidRPr="00611654">
        <w:rPr>
          <w:i/>
          <w:lang w:val="en-US"/>
        </w:rPr>
        <w:t>(</w:t>
      </w:r>
      <w:r w:rsidR="00611654">
        <w:rPr>
          <w:i/>
          <w:lang w:val="en-US"/>
        </w:rPr>
        <w:t>6,963</w:t>
      </w:r>
      <w:r w:rsidRPr="00611654">
        <w:rPr>
          <w:i/>
          <w:lang w:val="en-US"/>
        </w:rPr>
        <w:t xml:space="preserve"> </w:t>
      </w:r>
      <w:r w:rsidR="00EE4972" w:rsidRPr="0065356D">
        <w:rPr>
          <w:i/>
          <w:lang w:val="en-GB"/>
        </w:rPr>
        <w:t>characters incl. blanks</w:t>
      </w:r>
      <w:r w:rsidRPr="00611654">
        <w:rPr>
          <w:i/>
          <w:lang w:val="en-US"/>
        </w:rPr>
        <w:t>)</w:t>
      </w:r>
    </w:p>
    <w:p w14:paraId="3DBA17CA" w14:textId="675B4F68" w:rsidR="00F4749E" w:rsidRPr="00611654" w:rsidRDefault="001706DC" w:rsidP="006678E0">
      <w:pPr>
        <w:pStyle w:val="MMKurzprofilberschrift"/>
        <w:rPr>
          <w:lang w:val="en-US"/>
        </w:rPr>
      </w:pPr>
      <w:r w:rsidRPr="008218D9">
        <w:rPr>
          <w:rFonts w:cs="Times New Roman"/>
          <w:szCs w:val="24"/>
          <w:lang w:val="en-GB"/>
        </w:rPr>
        <w:t>Leoni performance overview</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1181"/>
        <w:gridCol w:w="1181"/>
        <w:gridCol w:w="1182"/>
      </w:tblGrid>
      <w:tr w:rsidR="001706DC" w:rsidRPr="00DF6351" w14:paraId="7349779F" w14:textId="77777777" w:rsidTr="001706DC">
        <w:tc>
          <w:tcPr>
            <w:tcW w:w="4361" w:type="dxa"/>
          </w:tcPr>
          <w:p w14:paraId="5B10345A" w14:textId="33F45967" w:rsidR="001706DC" w:rsidRPr="00DF6351" w:rsidRDefault="001706DC" w:rsidP="005E2FE7">
            <w:pPr>
              <w:tabs>
                <w:tab w:val="left" w:pos="8505"/>
              </w:tabs>
              <w:rPr>
                <w:rFonts w:ascii="Arial" w:hAnsi="Arial" w:cs="Arial"/>
                <w:b/>
                <w:sz w:val="18"/>
                <w:szCs w:val="18"/>
              </w:rPr>
            </w:pPr>
            <w:r>
              <w:rPr>
                <w:rFonts w:ascii="Arial" w:hAnsi="Arial" w:cs="Arial"/>
                <w:b/>
                <w:sz w:val="18"/>
                <w:szCs w:val="18"/>
              </w:rPr>
              <w:t xml:space="preserve">Group </w:t>
            </w:r>
            <w:proofErr w:type="spellStart"/>
            <w:r>
              <w:rPr>
                <w:rFonts w:ascii="Arial" w:hAnsi="Arial" w:cs="Arial"/>
                <w:b/>
                <w:sz w:val="18"/>
                <w:szCs w:val="18"/>
              </w:rPr>
              <w:t>k</w:t>
            </w:r>
            <w:r w:rsidRPr="00DF6351">
              <w:rPr>
                <w:rFonts w:ascii="Arial" w:hAnsi="Arial" w:cs="Arial"/>
                <w:b/>
                <w:sz w:val="18"/>
                <w:szCs w:val="18"/>
              </w:rPr>
              <w:t>e</w:t>
            </w:r>
            <w:r>
              <w:rPr>
                <w:rFonts w:ascii="Arial" w:hAnsi="Arial" w:cs="Arial"/>
                <w:b/>
                <w:sz w:val="18"/>
                <w:szCs w:val="18"/>
              </w:rPr>
              <w:t>y</w:t>
            </w:r>
            <w:proofErr w:type="spellEnd"/>
            <w:r>
              <w:rPr>
                <w:rFonts w:ascii="Arial" w:hAnsi="Arial" w:cs="Arial"/>
                <w:b/>
                <w:sz w:val="18"/>
                <w:szCs w:val="18"/>
              </w:rPr>
              <w:t xml:space="preserve"> </w:t>
            </w:r>
            <w:proofErr w:type="spellStart"/>
            <w:r>
              <w:rPr>
                <w:rFonts w:ascii="Arial" w:hAnsi="Arial" w:cs="Arial"/>
                <w:b/>
                <w:sz w:val="18"/>
                <w:szCs w:val="18"/>
              </w:rPr>
              <w:t>figures</w:t>
            </w:r>
            <w:proofErr w:type="spellEnd"/>
          </w:p>
        </w:tc>
        <w:tc>
          <w:tcPr>
            <w:tcW w:w="1181" w:type="dxa"/>
          </w:tcPr>
          <w:p w14:paraId="73E0917B" w14:textId="4E0FDEA9" w:rsidR="001706DC" w:rsidRPr="00BE78C2" w:rsidRDefault="001706DC" w:rsidP="006678E0">
            <w:pPr>
              <w:tabs>
                <w:tab w:val="left" w:pos="8505"/>
              </w:tabs>
              <w:rPr>
                <w:rFonts w:ascii="Arial" w:hAnsi="Arial" w:cs="Arial"/>
                <w:b/>
                <w:sz w:val="18"/>
                <w:szCs w:val="18"/>
              </w:rPr>
            </w:pPr>
            <w:r w:rsidRPr="00BE78C2">
              <w:rPr>
                <w:rFonts w:ascii="Arial" w:hAnsi="Arial" w:cs="Arial"/>
                <w:b/>
                <w:sz w:val="18"/>
                <w:szCs w:val="18"/>
              </w:rPr>
              <w:t>201</w:t>
            </w:r>
            <w:r>
              <w:rPr>
                <w:rFonts w:ascii="Arial" w:hAnsi="Arial" w:cs="Arial"/>
                <w:b/>
                <w:sz w:val="18"/>
                <w:szCs w:val="18"/>
              </w:rPr>
              <w:t>5</w:t>
            </w:r>
          </w:p>
        </w:tc>
        <w:tc>
          <w:tcPr>
            <w:tcW w:w="1181" w:type="dxa"/>
          </w:tcPr>
          <w:p w14:paraId="4843B683" w14:textId="21BEA742" w:rsidR="001706DC" w:rsidRPr="00BE78C2" w:rsidRDefault="001706DC" w:rsidP="005E2FE7">
            <w:pPr>
              <w:tabs>
                <w:tab w:val="left" w:pos="8505"/>
              </w:tabs>
              <w:rPr>
                <w:rFonts w:ascii="Arial" w:hAnsi="Arial" w:cs="Arial"/>
                <w:b/>
                <w:sz w:val="18"/>
                <w:szCs w:val="18"/>
              </w:rPr>
            </w:pPr>
            <w:r w:rsidRPr="00BE78C2">
              <w:rPr>
                <w:rFonts w:ascii="Arial" w:hAnsi="Arial" w:cs="Arial"/>
                <w:b/>
                <w:sz w:val="18"/>
                <w:szCs w:val="18"/>
              </w:rPr>
              <w:t>201</w:t>
            </w:r>
            <w:r>
              <w:rPr>
                <w:rFonts w:ascii="Arial" w:hAnsi="Arial" w:cs="Arial"/>
                <w:b/>
                <w:sz w:val="18"/>
                <w:szCs w:val="18"/>
              </w:rPr>
              <w:t>4</w:t>
            </w:r>
          </w:p>
        </w:tc>
        <w:tc>
          <w:tcPr>
            <w:tcW w:w="1182" w:type="dxa"/>
          </w:tcPr>
          <w:p w14:paraId="167A778F" w14:textId="651308C3" w:rsidR="001706DC" w:rsidRPr="00BE78C2" w:rsidRDefault="001706DC" w:rsidP="001706DC">
            <w:pPr>
              <w:tabs>
                <w:tab w:val="left" w:pos="8505"/>
              </w:tabs>
              <w:ind w:left="-13" w:right="-108"/>
              <w:rPr>
                <w:rFonts w:ascii="Arial" w:hAnsi="Arial" w:cs="Arial"/>
                <w:b/>
                <w:sz w:val="18"/>
                <w:szCs w:val="18"/>
              </w:rPr>
            </w:pPr>
            <w:r>
              <w:rPr>
                <w:rFonts w:ascii="Arial" w:hAnsi="Arial" w:cs="Arial"/>
                <w:b/>
                <w:sz w:val="18"/>
                <w:szCs w:val="18"/>
              </w:rPr>
              <w:t>Change</w:t>
            </w:r>
          </w:p>
        </w:tc>
      </w:tr>
      <w:tr w:rsidR="001706DC" w:rsidRPr="00EE4972" w14:paraId="2389C128" w14:textId="77777777" w:rsidTr="001706DC">
        <w:trPr>
          <w:trHeight w:val="284"/>
        </w:trPr>
        <w:tc>
          <w:tcPr>
            <w:tcW w:w="4361" w:type="dxa"/>
            <w:vAlign w:val="center"/>
          </w:tcPr>
          <w:p w14:paraId="1F59C285" w14:textId="40169FC2" w:rsidR="001706DC" w:rsidRDefault="001706DC" w:rsidP="005E2FE7">
            <w:pPr>
              <w:tabs>
                <w:tab w:val="left" w:pos="8505"/>
              </w:tabs>
              <w:rPr>
                <w:rFonts w:ascii="Arial" w:hAnsi="Arial" w:cs="Arial"/>
                <w:sz w:val="18"/>
                <w:szCs w:val="18"/>
              </w:rPr>
            </w:pPr>
            <w:r>
              <w:rPr>
                <w:rFonts w:ascii="Arial" w:hAnsi="Arial"/>
                <w:sz w:val="18"/>
                <w:lang w:val="en-GB"/>
              </w:rPr>
              <w:t>Consolidated s</w:t>
            </w:r>
            <w:r w:rsidRPr="007F68CF">
              <w:rPr>
                <w:rFonts w:ascii="Arial" w:hAnsi="Arial"/>
                <w:sz w:val="18"/>
                <w:lang w:val="en-GB"/>
              </w:rPr>
              <w:t>ales [€ mil</w:t>
            </w:r>
            <w:r>
              <w:rPr>
                <w:rFonts w:ascii="Arial" w:hAnsi="Arial"/>
                <w:sz w:val="18"/>
                <w:lang w:val="en-GB"/>
              </w:rPr>
              <w:t>lion</w:t>
            </w:r>
            <w:r w:rsidRPr="007F68CF">
              <w:rPr>
                <w:rFonts w:ascii="Arial" w:hAnsi="Arial"/>
                <w:sz w:val="18"/>
                <w:lang w:val="en-GB"/>
              </w:rPr>
              <w:t>]</w:t>
            </w:r>
          </w:p>
        </w:tc>
        <w:tc>
          <w:tcPr>
            <w:tcW w:w="1181" w:type="dxa"/>
            <w:vAlign w:val="center"/>
          </w:tcPr>
          <w:p w14:paraId="77D5BDD7" w14:textId="53C55C0B" w:rsidR="001706DC" w:rsidRPr="00EE4972" w:rsidRDefault="001706DC" w:rsidP="00EE4972">
            <w:pPr>
              <w:tabs>
                <w:tab w:val="left" w:pos="8505"/>
              </w:tabs>
              <w:rPr>
                <w:rFonts w:ascii="Arial" w:hAnsi="Arial" w:cs="Arial"/>
                <w:sz w:val="18"/>
                <w:szCs w:val="18"/>
                <w:lang w:val="en-US"/>
              </w:rPr>
            </w:pPr>
            <w:r w:rsidRPr="00EE4972">
              <w:rPr>
                <w:rFonts w:ascii="Arial" w:hAnsi="Arial" w:cs="Arial"/>
                <w:sz w:val="18"/>
                <w:szCs w:val="18"/>
                <w:lang w:val="en-US"/>
              </w:rPr>
              <w:t>4</w:t>
            </w:r>
            <w:r w:rsidR="00EE4972" w:rsidRPr="00EE4972">
              <w:rPr>
                <w:rFonts w:ascii="Arial" w:hAnsi="Arial" w:cs="Arial"/>
                <w:sz w:val="18"/>
                <w:szCs w:val="18"/>
                <w:lang w:val="en-US"/>
              </w:rPr>
              <w:t>,</w:t>
            </w:r>
            <w:r w:rsidRPr="00EE4972">
              <w:rPr>
                <w:rFonts w:ascii="Arial" w:hAnsi="Arial" w:cs="Arial"/>
                <w:sz w:val="18"/>
                <w:szCs w:val="18"/>
                <w:lang w:val="en-US"/>
              </w:rPr>
              <w:t>502</w:t>
            </w:r>
            <w:r w:rsidR="00EE4972" w:rsidRPr="00EE4972">
              <w:rPr>
                <w:rFonts w:ascii="Arial" w:hAnsi="Arial" w:cs="Arial"/>
                <w:sz w:val="18"/>
                <w:szCs w:val="18"/>
                <w:lang w:val="en-US"/>
              </w:rPr>
              <w:t>.</w:t>
            </w:r>
            <w:r w:rsidRPr="00EE4972">
              <w:rPr>
                <w:rFonts w:ascii="Arial" w:hAnsi="Arial" w:cs="Arial"/>
                <w:sz w:val="18"/>
                <w:szCs w:val="18"/>
                <w:lang w:val="en-US"/>
              </w:rPr>
              <w:t>9</w:t>
            </w:r>
          </w:p>
        </w:tc>
        <w:tc>
          <w:tcPr>
            <w:tcW w:w="1181" w:type="dxa"/>
            <w:vAlign w:val="center"/>
          </w:tcPr>
          <w:p w14:paraId="4D719A19" w14:textId="20448AD2" w:rsidR="001706DC" w:rsidRPr="00EE4972" w:rsidRDefault="001706DC" w:rsidP="00EE4972">
            <w:pPr>
              <w:tabs>
                <w:tab w:val="left" w:pos="8505"/>
              </w:tabs>
              <w:rPr>
                <w:rFonts w:ascii="Arial" w:hAnsi="Arial" w:cs="Arial"/>
                <w:sz w:val="18"/>
                <w:szCs w:val="18"/>
                <w:lang w:val="en-US"/>
              </w:rPr>
            </w:pPr>
            <w:r w:rsidRPr="00EE4972">
              <w:rPr>
                <w:rFonts w:ascii="Arial" w:hAnsi="Arial" w:cs="Arial"/>
                <w:sz w:val="18"/>
                <w:szCs w:val="18"/>
                <w:lang w:val="en-US"/>
              </w:rPr>
              <w:t>4</w:t>
            </w:r>
            <w:r w:rsidR="00EE4972">
              <w:rPr>
                <w:rFonts w:ascii="Arial" w:hAnsi="Arial" w:cs="Arial"/>
                <w:sz w:val="18"/>
                <w:szCs w:val="18"/>
                <w:lang w:val="en-US"/>
              </w:rPr>
              <w:t>,</w:t>
            </w:r>
            <w:r w:rsidRPr="00EE4972">
              <w:rPr>
                <w:rFonts w:ascii="Arial" w:hAnsi="Arial" w:cs="Arial"/>
                <w:sz w:val="18"/>
                <w:szCs w:val="18"/>
                <w:lang w:val="en-US"/>
              </w:rPr>
              <w:t>103</w:t>
            </w:r>
            <w:r w:rsidR="00EE4972">
              <w:rPr>
                <w:rFonts w:ascii="Arial" w:hAnsi="Arial" w:cs="Arial"/>
                <w:sz w:val="18"/>
                <w:szCs w:val="18"/>
                <w:lang w:val="en-US"/>
              </w:rPr>
              <w:t>.</w:t>
            </w:r>
            <w:r w:rsidRPr="00EE4972">
              <w:rPr>
                <w:rFonts w:ascii="Arial" w:hAnsi="Arial" w:cs="Arial"/>
                <w:sz w:val="18"/>
                <w:szCs w:val="18"/>
                <w:lang w:val="en-US"/>
              </w:rPr>
              <w:t>4</w:t>
            </w:r>
          </w:p>
        </w:tc>
        <w:tc>
          <w:tcPr>
            <w:tcW w:w="1182" w:type="dxa"/>
            <w:vAlign w:val="center"/>
          </w:tcPr>
          <w:p w14:paraId="13E06B86" w14:textId="2DCC3D8F" w:rsidR="001706DC" w:rsidRPr="00EE4972" w:rsidRDefault="001706DC" w:rsidP="00EE4972">
            <w:pPr>
              <w:tabs>
                <w:tab w:val="left" w:pos="8505"/>
              </w:tabs>
              <w:rPr>
                <w:rFonts w:ascii="Arial" w:hAnsi="Arial" w:cs="Arial"/>
                <w:sz w:val="18"/>
                <w:szCs w:val="18"/>
                <w:lang w:val="en-US"/>
              </w:rPr>
            </w:pPr>
            <w:r w:rsidRPr="00EE4972">
              <w:rPr>
                <w:rFonts w:ascii="Arial" w:hAnsi="Arial" w:cs="Arial"/>
                <w:sz w:val="18"/>
                <w:szCs w:val="18"/>
                <w:lang w:val="en-US"/>
              </w:rPr>
              <w:t>+9</w:t>
            </w:r>
            <w:r w:rsidR="00EE4972">
              <w:rPr>
                <w:rFonts w:ascii="Arial" w:hAnsi="Arial" w:cs="Arial"/>
                <w:sz w:val="18"/>
                <w:szCs w:val="18"/>
                <w:lang w:val="en-US"/>
              </w:rPr>
              <w:t>.</w:t>
            </w:r>
            <w:r w:rsidRPr="00EE4972">
              <w:rPr>
                <w:rFonts w:ascii="Arial" w:hAnsi="Arial" w:cs="Arial"/>
                <w:sz w:val="18"/>
                <w:szCs w:val="18"/>
                <w:lang w:val="en-US"/>
              </w:rPr>
              <w:t>7 %</w:t>
            </w:r>
          </w:p>
        </w:tc>
      </w:tr>
      <w:tr w:rsidR="001706DC" w:rsidRPr="00EE4972" w14:paraId="4259C592" w14:textId="77777777" w:rsidTr="001706DC">
        <w:trPr>
          <w:trHeight w:val="284"/>
        </w:trPr>
        <w:tc>
          <w:tcPr>
            <w:tcW w:w="4361" w:type="dxa"/>
            <w:vAlign w:val="center"/>
          </w:tcPr>
          <w:p w14:paraId="70EF0644" w14:textId="3EFB9910" w:rsidR="001706DC" w:rsidRPr="00EE4972" w:rsidRDefault="001706DC" w:rsidP="005E2FE7">
            <w:pPr>
              <w:tabs>
                <w:tab w:val="left" w:pos="8505"/>
              </w:tabs>
              <w:rPr>
                <w:rFonts w:ascii="Arial" w:hAnsi="Arial" w:cs="Arial"/>
                <w:sz w:val="18"/>
                <w:szCs w:val="18"/>
                <w:lang w:val="en-US"/>
              </w:rPr>
            </w:pPr>
            <w:r w:rsidRPr="007F68CF">
              <w:rPr>
                <w:rFonts w:ascii="Arial" w:hAnsi="Arial"/>
                <w:sz w:val="18"/>
                <w:lang w:val="en-GB"/>
              </w:rPr>
              <w:t xml:space="preserve">EBIT [€ </w:t>
            </w:r>
            <w:r>
              <w:rPr>
                <w:rFonts w:ascii="Arial" w:hAnsi="Arial"/>
                <w:sz w:val="18"/>
                <w:lang w:val="en-GB"/>
              </w:rPr>
              <w:t>million</w:t>
            </w:r>
            <w:r w:rsidRPr="007F68CF">
              <w:rPr>
                <w:rFonts w:ascii="Arial" w:hAnsi="Arial"/>
                <w:sz w:val="18"/>
                <w:lang w:val="en-GB"/>
              </w:rPr>
              <w:t>]</w:t>
            </w:r>
          </w:p>
        </w:tc>
        <w:tc>
          <w:tcPr>
            <w:tcW w:w="1181" w:type="dxa"/>
            <w:vAlign w:val="center"/>
          </w:tcPr>
          <w:p w14:paraId="559ADB57" w14:textId="20B5C10A" w:rsidR="001706DC" w:rsidRPr="00EE4972" w:rsidRDefault="001706DC" w:rsidP="00EE4972">
            <w:pPr>
              <w:tabs>
                <w:tab w:val="left" w:pos="8505"/>
              </w:tabs>
              <w:rPr>
                <w:rFonts w:ascii="Arial" w:hAnsi="Arial" w:cs="Arial"/>
                <w:sz w:val="18"/>
                <w:szCs w:val="18"/>
                <w:lang w:val="en-US"/>
              </w:rPr>
            </w:pPr>
            <w:r w:rsidRPr="00EE4972">
              <w:rPr>
                <w:rFonts w:ascii="Arial" w:hAnsi="Arial" w:cs="Arial"/>
                <w:sz w:val="18"/>
                <w:szCs w:val="18"/>
                <w:lang w:val="en-US"/>
              </w:rPr>
              <w:t>151</w:t>
            </w:r>
            <w:r w:rsidR="00EE4972">
              <w:rPr>
                <w:rFonts w:ascii="Arial" w:hAnsi="Arial" w:cs="Arial"/>
                <w:sz w:val="18"/>
                <w:szCs w:val="18"/>
                <w:lang w:val="en-US"/>
              </w:rPr>
              <w:t>.</w:t>
            </w:r>
            <w:r w:rsidRPr="00EE4972">
              <w:rPr>
                <w:rFonts w:ascii="Arial" w:hAnsi="Arial" w:cs="Arial"/>
                <w:sz w:val="18"/>
                <w:szCs w:val="18"/>
                <w:lang w:val="en-US"/>
              </w:rPr>
              <w:t>3</w:t>
            </w:r>
          </w:p>
        </w:tc>
        <w:tc>
          <w:tcPr>
            <w:tcW w:w="1181" w:type="dxa"/>
            <w:vAlign w:val="center"/>
          </w:tcPr>
          <w:p w14:paraId="7915D821" w14:textId="6E9206A4" w:rsidR="001706DC" w:rsidRPr="00EE4972" w:rsidRDefault="001706DC" w:rsidP="00EE4972">
            <w:pPr>
              <w:tabs>
                <w:tab w:val="left" w:pos="8505"/>
              </w:tabs>
              <w:rPr>
                <w:rFonts w:ascii="Arial" w:hAnsi="Arial" w:cs="Arial"/>
                <w:sz w:val="18"/>
                <w:szCs w:val="18"/>
                <w:lang w:val="en-US"/>
              </w:rPr>
            </w:pPr>
            <w:r w:rsidRPr="00EE4972">
              <w:rPr>
                <w:rFonts w:ascii="Arial" w:hAnsi="Arial" w:cs="Arial"/>
                <w:sz w:val="18"/>
                <w:szCs w:val="18"/>
                <w:lang w:val="en-US"/>
              </w:rPr>
              <w:t>182</w:t>
            </w:r>
            <w:r w:rsidR="00EE4972">
              <w:rPr>
                <w:rFonts w:ascii="Arial" w:hAnsi="Arial" w:cs="Arial"/>
                <w:sz w:val="18"/>
                <w:szCs w:val="18"/>
                <w:lang w:val="en-US"/>
              </w:rPr>
              <w:t>.</w:t>
            </w:r>
            <w:r w:rsidRPr="00EE4972">
              <w:rPr>
                <w:rFonts w:ascii="Arial" w:hAnsi="Arial" w:cs="Arial"/>
                <w:sz w:val="18"/>
                <w:szCs w:val="18"/>
                <w:lang w:val="en-US"/>
              </w:rPr>
              <w:t>5</w:t>
            </w:r>
          </w:p>
        </w:tc>
        <w:tc>
          <w:tcPr>
            <w:tcW w:w="1182" w:type="dxa"/>
            <w:vAlign w:val="center"/>
          </w:tcPr>
          <w:p w14:paraId="3AFACB65" w14:textId="7B4AD277" w:rsidR="001706DC" w:rsidRPr="00EE4972" w:rsidRDefault="00EE4972" w:rsidP="00EE4972">
            <w:pPr>
              <w:tabs>
                <w:tab w:val="left" w:pos="8505"/>
              </w:tabs>
              <w:rPr>
                <w:rFonts w:ascii="Arial" w:hAnsi="Arial" w:cs="Arial"/>
                <w:sz w:val="18"/>
                <w:szCs w:val="18"/>
                <w:lang w:val="en-US"/>
              </w:rPr>
            </w:pPr>
            <w:r>
              <w:rPr>
                <w:rFonts w:ascii="Arial" w:hAnsi="Arial" w:cs="Arial"/>
                <w:sz w:val="18"/>
                <w:szCs w:val="18"/>
                <w:lang w:val="en-US"/>
              </w:rPr>
              <w:t>(</w:t>
            </w:r>
            <w:r w:rsidR="001706DC" w:rsidRPr="00EE4972">
              <w:rPr>
                <w:rFonts w:ascii="Arial" w:hAnsi="Arial" w:cs="Arial"/>
                <w:sz w:val="18"/>
                <w:szCs w:val="18"/>
                <w:lang w:val="en-US"/>
              </w:rPr>
              <w:t>17</w:t>
            </w:r>
            <w:r>
              <w:rPr>
                <w:rFonts w:ascii="Arial" w:hAnsi="Arial" w:cs="Arial"/>
                <w:sz w:val="18"/>
                <w:szCs w:val="18"/>
                <w:lang w:val="en-US"/>
              </w:rPr>
              <w:t>.</w:t>
            </w:r>
            <w:r w:rsidR="001706DC" w:rsidRPr="00EE4972">
              <w:rPr>
                <w:rFonts w:ascii="Arial" w:hAnsi="Arial" w:cs="Arial"/>
                <w:sz w:val="18"/>
                <w:szCs w:val="18"/>
                <w:lang w:val="en-US"/>
              </w:rPr>
              <w:t>1</w:t>
            </w:r>
            <w:r>
              <w:rPr>
                <w:rFonts w:ascii="Arial" w:hAnsi="Arial" w:cs="Arial"/>
                <w:sz w:val="18"/>
                <w:szCs w:val="18"/>
                <w:lang w:val="en-US"/>
              </w:rPr>
              <w:t>)</w:t>
            </w:r>
            <w:r w:rsidR="001706DC" w:rsidRPr="00EE4972">
              <w:rPr>
                <w:rFonts w:ascii="Arial" w:hAnsi="Arial" w:cs="Arial"/>
                <w:sz w:val="18"/>
                <w:szCs w:val="18"/>
                <w:lang w:val="en-US"/>
              </w:rPr>
              <w:t xml:space="preserve"> %</w:t>
            </w:r>
          </w:p>
        </w:tc>
      </w:tr>
      <w:tr w:rsidR="001706DC" w:rsidRPr="00EE4972" w14:paraId="141D7760" w14:textId="77777777" w:rsidTr="001706DC">
        <w:trPr>
          <w:trHeight w:val="284"/>
        </w:trPr>
        <w:tc>
          <w:tcPr>
            <w:tcW w:w="4361" w:type="dxa"/>
            <w:vAlign w:val="center"/>
          </w:tcPr>
          <w:p w14:paraId="7CCDCA61" w14:textId="552BCE82" w:rsidR="001706DC" w:rsidRPr="00EE4972" w:rsidRDefault="001706DC" w:rsidP="005E2FE7">
            <w:pPr>
              <w:tabs>
                <w:tab w:val="left" w:pos="8505"/>
              </w:tabs>
              <w:rPr>
                <w:rFonts w:ascii="Arial" w:hAnsi="Arial" w:cs="Arial"/>
                <w:sz w:val="18"/>
                <w:szCs w:val="18"/>
                <w:lang w:val="en-US"/>
              </w:rPr>
            </w:pPr>
            <w:r w:rsidRPr="00A460D5">
              <w:rPr>
                <w:rFonts w:ascii="Arial" w:hAnsi="Arial"/>
                <w:noProof/>
                <w:sz w:val="18"/>
                <w:lang w:val="en-US"/>
              </w:rPr>
              <w:t xml:space="preserve">Adjusted EBIT </w:t>
            </w:r>
            <w:r w:rsidRPr="00A460D5">
              <w:rPr>
                <w:rFonts w:ascii="Arial" w:hAnsi="Arial"/>
                <w:noProof/>
                <w:sz w:val="18"/>
                <w:vertAlign w:val="superscript"/>
                <w:lang w:val="en-US"/>
              </w:rPr>
              <w:t>(1)</w:t>
            </w:r>
            <w:r w:rsidRPr="00A460D5">
              <w:rPr>
                <w:rFonts w:ascii="Arial" w:hAnsi="Arial"/>
                <w:noProof/>
                <w:sz w:val="18"/>
                <w:lang w:val="en-US"/>
              </w:rPr>
              <w:t xml:space="preserve"> </w:t>
            </w:r>
            <w:r w:rsidRPr="007F68CF">
              <w:rPr>
                <w:rFonts w:ascii="Arial" w:hAnsi="Arial"/>
                <w:sz w:val="18"/>
                <w:lang w:val="en-GB"/>
              </w:rPr>
              <w:t xml:space="preserve">[€ </w:t>
            </w:r>
            <w:r>
              <w:rPr>
                <w:rFonts w:ascii="Arial" w:hAnsi="Arial"/>
                <w:sz w:val="18"/>
                <w:lang w:val="en-GB"/>
              </w:rPr>
              <w:t>million</w:t>
            </w:r>
            <w:r w:rsidRPr="007F68CF">
              <w:rPr>
                <w:rFonts w:ascii="Arial" w:hAnsi="Arial"/>
                <w:sz w:val="18"/>
                <w:lang w:val="en-GB"/>
              </w:rPr>
              <w:t>]</w:t>
            </w:r>
          </w:p>
        </w:tc>
        <w:tc>
          <w:tcPr>
            <w:tcW w:w="1181" w:type="dxa"/>
            <w:vAlign w:val="center"/>
          </w:tcPr>
          <w:p w14:paraId="790FA000" w14:textId="69C8FF26" w:rsidR="001706DC" w:rsidRPr="00EE4972" w:rsidRDefault="001706DC" w:rsidP="00EE4972">
            <w:pPr>
              <w:tabs>
                <w:tab w:val="left" w:pos="8505"/>
              </w:tabs>
              <w:rPr>
                <w:rFonts w:ascii="Arial" w:hAnsi="Arial" w:cs="Arial"/>
                <w:sz w:val="18"/>
                <w:szCs w:val="18"/>
                <w:lang w:val="en-US"/>
              </w:rPr>
            </w:pPr>
            <w:r w:rsidRPr="00EE4972">
              <w:rPr>
                <w:rFonts w:ascii="Arial" w:hAnsi="Arial" w:cs="Arial"/>
                <w:sz w:val="18"/>
                <w:szCs w:val="18"/>
                <w:lang w:val="en-US"/>
              </w:rPr>
              <w:t>146</w:t>
            </w:r>
            <w:r w:rsidR="00EE4972">
              <w:rPr>
                <w:rFonts w:ascii="Arial" w:hAnsi="Arial" w:cs="Arial"/>
                <w:sz w:val="18"/>
                <w:szCs w:val="18"/>
                <w:lang w:val="en-US"/>
              </w:rPr>
              <w:t>.</w:t>
            </w:r>
            <w:r w:rsidRPr="00EE4972">
              <w:rPr>
                <w:rFonts w:ascii="Arial" w:hAnsi="Arial" w:cs="Arial"/>
                <w:sz w:val="18"/>
                <w:szCs w:val="18"/>
                <w:lang w:val="en-US"/>
              </w:rPr>
              <w:t>9</w:t>
            </w:r>
          </w:p>
        </w:tc>
        <w:tc>
          <w:tcPr>
            <w:tcW w:w="1181" w:type="dxa"/>
            <w:vAlign w:val="center"/>
          </w:tcPr>
          <w:p w14:paraId="72B107BD" w14:textId="6A31CC96" w:rsidR="001706DC" w:rsidRPr="00EE4972" w:rsidRDefault="001706DC" w:rsidP="00EE4972">
            <w:pPr>
              <w:tabs>
                <w:tab w:val="left" w:pos="8505"/>
              </w:tabs>
              <w:rPr>
                <w:rFonts w:ascii="Arial" w:hAnsi="Arial" w:cs="Arial"/>
                <w:sz w:val="18"/>
                <w:szCs w:val="18"/>
                <w:lang w:val="en-US"/>
              </w:rPr>
            </w:pPr>
            <w:r w:rsidRPr="00EE4972">
              <w:rPr>
                <w:rFonts w:ascii="Arial" w:hAnsi="Arial" w:cs="Arial"/>
                <w:sz w:val="18"/>
                <w:szCs w:val="18"/>
                <w:lang w:val="en-US"/>
              </w:rPr>
              <w:t>192</w:t>
            </w:r>
            <w:r w:rsidR="00EE4972">
              <w:rPr>
                <w:rFonts w:ascii="Arial" w:hAnsi="Arial" w:cs="Arial"/>
                <w:sz w:val="18"/>
                <w:szCs w:val="18"/>
                <w:lang w:val="en-US"/>
              </w:rPr>
              <w:t>.</w:t>
            </w:r>
            <w:r w:rsidRPr="00EE4972">
              <w:rPr>
                <w:rFonts w:ascii="Arial" w:hAnsi="Arial" w:cs="Arial"/>
                <w:sz w:val="18"/>
                <w:szCs w:val="18"/>
                <w:lang w:val="en-US"/>
              </w:rPr>
              <w:t>7</w:t>
            </w:r>
          </w:p>
        </w:tc>
        <w:tc>
          <w:tcPr>
            <w:tcW w:w="1182" w:type="dxa"/>
            <w:vAlign w:val="center"/>
          </w:tcPr>
          <w:p w14:paraId="533ADC2C" w14:textId="0CEC89FB" w:rsidR="001706DC" w:rsidRPr="00EE4972" w:rsidRDefault="00EE4972" w:rsidP="00EE4972">
            <w:pPr>
              <w:tabs>
                <w:tab w:val="left" w:pos="8505"/>
              </w:tabs>
              <w:rPr>
                <w:rFonts w:ascii="Arial" w:hAnsi="Arial" w:cs="Arial"/>
                <w:sz w:val="18"/>
                <w:szCs w:val="18"/>
                <w:lang w:val="en-US"/>
              </w:rPr>
            </w:pPr>
            <w:r>
              <w:rPr>
                <w:rFonts w:ascii="Arial" w:hAnsi="Arial" w:cs="Arial"/>
                <w:sz w:val="18"/>
                <w:szCs w:val="18"/>
                <w:lang w:val="en-US"/>
              </w:rPr>
              <w:t>(</w:t>
            </w:r>
            <w:r w:rsidR="001706DC" w:rsidRPr="00EE4972">
              <w:rPr>
                <w:rFonts w:ascii="Arial" w:hAnsi="Arial" w:cs="Arial"/>
                <w:sz w:val="18"/>
                <w:szCs w:val="18"/>
                <w:lang w:val="en-US"/>
              </w:rPr>
              <w:t>23</w:t>
            </w:r>
            <w:r>
              <w:rPr>
                <w:rFonts w:ascii="Arial" w:hAnsi="Arial" w:cs="Arial"/>
                <w:sz w:val="18"/>
                <w:szCs w:val="18"/>
                <w:lang w:val="en-US"/>
              </w:rPr>
              <w:t>.</w:t>
            </w:r>
            <w:r w:rsidR="001706DC" w:rsidRPr="00EE4972">
              <w:rPr>
                <w:rFonts w:ascii="Arial" w:hAnsi="Arial" w:cs="Arial"/>
                <w:sz w:val="18"/>
                <w:szCs w:val="18"/>
                <w:lang w:val="en-US"/>
              </w:rPr>
              <w:t>8</w:t>
            </w:r>
            <w:r>
              <w:rPr>
                <w:rFonts w:ascii="Arial" w:hAnsi="Arial" w:cs="Arial"/>
                <w:sz w:val="18"/>
                <w:szCs w:val="18"/>
                <w:lang w:val="en-US"/>
              </w:rPr>
              <w:t>)</w:t>
            </w:r>
            <w:r w:rsidR="001706DC" w:rsidRPr="00EE4972">
              <w:rPr>
                <w:rFonts w:ascii="Arial" w:hAnsi="Arial" w:cs="Arial"/>
                <w:sz w:val="18"/>
                <w:szCs w:val="18"/>
                <w:lang w:val="en-US"/>
              </w:rPr>
              <w:t xml:space="preserve"> %</w:t>
            </w:r>
          </w:p>
        </w:tc>
      </w:tr>
      <w:tr w:rsidR="001706DC" w:rsidRPr="00EE4972" w14:paraId="5613E471" w14:textId="77777777" w:rsidTr="001706DC">
        <w:trPr>
          <w:trHeight w:val="284"/>
        </w:trPr>
        <w:tc>
          <w:tcPr>
            <w:tcW w:w="4361" w:type="dxa"/>
            <w:vAlign w:val="center"/>
          </w:tcPr>
          <w:p w14:paraId="2997DD57" w14:textId="0C9E26F3" w:rsidR="001706DC" w:rsidRPr="00EE4972" w:rsidRDefault="001706DC" w:rsidP="005E2FE7">
            <w:pPr>
              <w:tabs>
                <w:tab w:val="left" w:pos="8505"/>
              </w:tabs>
              <w:rPr>
                <w:rFonts w:ascii="Arial" w:hAnsi="Arial" w:cs="Arial"/>
                <w:sz w:val="18"/>
                <w:szCs w:val="18"/>
                <w:lang w:val="en-US"/>
              </w:rPr>
            </w:pPr>
            <w:r w:rsidRPr="009E06E1">
              <w:rPr>
                <w:rFonts w:ascii="Arial" w:hAnsi="Arial"/>
                <w:sz w:val="18"/>
                <w:lang w:val="en-GB"/>
              </w:rPr>
              <w:t>EBIT margi</w:t>
            </w:r>
            <w:r>
              <w:rPr>
                <w:rFonts w:ascii="Arial" w:hAnsi="Arial"/>
                <w:sz w:val="18"/>
                <w:lang w:val="en-GB"/>
              </w:rPr>
              <w:t>n [%]</w:t>
            </w:r>
          </w:p>
        </w:tc>
        <w:tc>
          <w:tcPr>
            <w:tcW w:w="1181" w:type="dxa"/>
            <w:vAlign w:val="center"/>
          </w:tcPr>
          <w:p w14:paraId="52600B42" w14:textId="6DD27766" w:rsidR="001706DC" w:rsidRPr="00EE4972" w:rsidRDefault="001706DC" w:rsidP="00EE4972">
            <w:pPr>
              <w:tabs>
                <w:tab w:val="left" w:pos="8505"/>
              </w:tabs>
              <w:rPr>
                <w:rFonts w:ascii="Arial" w:hAnsi="Arial" w:cs="Arial"/>
                <w:sz w:val="18"/>
                <w:szCs w:val="18"/>
                <w:lang w:val="en-US"/>
              </w:rPr>
            </w:pPr>
            <w:r w:rsidRPr="00EE4972">
              <w:rPr>
                <w:rFonts w:ascii="Arial" w:hAnsi="Arial" w:cs="Arial"/>
                <w:sz w:val="18"/>
                <w:szCs w:val="18"/>
                <w:lang w:val="en-US"/>
              </w:rPr>
              <w:t>3</w:t>
            </w:r>
            <w:r w:rsidR="00EE4972">
              <w:rPr>
                <w:rFonts w:ascii="Arial" w:hAnsi="Arial" w:cs="Arial"/>
                <w:sz w:val="18"/>
                <w:szCs w:val="18"/>
                <w:lang w:val="en-US"/>
              </w:rPr>
              <w:t>.</w:t>
            </w:r>
            <w:r w:rsidRPr="00EE4972">
              <w:rPr>
                <w:rFonts w:ascii="Arial" w:hAnsi="Arial" w:cs="Arial"/>
                <w:sz w:val="18"/>
                <w:szCs w:val="18"/>
                <w:lang w:val="en-US"/>
              </w:rPr>
              <w:t>4</w:t>
            </w:r>
          </w:p>
        </w:tc>
        <w:tc>
          <w:tcPr>
            <w:tcW w:w="1181" w:type="dxa"/>
            <w:vAlign w:val="center"/>
          </w:tcPr>
          <w:p w14:paraId="1127B43F" w14:textId="138B7FF6" w:rsidR="001706DC" w:rsidRPr="00EE4972" w:rsidRDefault="001706DC" w:rsidP="00EE4972">
            <w:pPr>
              <w:tabs>
                <w:tab w:val="left" w:pos="8505"/>
              </w:tabs>
              <w:rPr>
                <w:rFonts w:ascii="Arial" w:hAnsi="Arial" w:cs="Arial"/>
                <w:sz w:val="18"/>
                <w:szCs w:val="18"/>
                <w:lang w:val="en-US"/>
              </w:rPr>
            </w:pPr>
            <w:r w:rsidRPr="00EE4972">
              <w:rPr>
                <w:rFonts w:ascii="Arial" w:hAnsi="Arial" w:cs="Arial"/>
                <w:sz w:val="18"/>
                <w:szCs w:val="18"/>
                <w:lang w:val="en-US"/>
              </w:rPr>
              <w:t>4</w:t>
            </w:r>
            <w:r w:rsidR="00EE4972">
              <w:rPr>
                <w:rFonts w:ascii="Arial" w:hAnsi="Arial" w:cs="Arial"/>
                <w:sz w:val="18"/>
                <w:szCs w:val="18"/>
                <w:lang w:val="en-US"/>
              </w:rPr>
              <w:t>.</w:t>
            </w:r>
            <w:r w:rsidRPr="00EE4972">
              <w:rPr>
                <w:rFonts w:ascii="Arial" w:hAnsi="Arial" w:cs="Arial"/>
                <w:sz w:val="18"/>
                <w:szCs w:val="18"/>
                <w:lang w:val="en-US"/>
              </w:rPr>
              <w:t>4</w:t>
            </w:r>
          </w:p>
        </w:tc>
        <w:tc>
          <w:tcPr>
            <w:tcW w:w="1182" w:type="dxa"/>
            <w:vAlign w:val="center"/>
          </w:tcPr>
          <w:p w14:paraId="1D2CADCA" w14:textId="77777777" w:rsidR="001706DC" w:rsidRPr="00EE4972" w:rsidRDefault="001706DC" w:rsidP="005E2FE7">
            <w:pPr>
              <w:tabs>
                <w:tab w:val="left" w:pos="8505"/>
              </w:tabs>
              <w:rPr>
                <w:rFonts w:ascii="Arial" w:hAnsi="Arial" w:cs="Arial"/>
                <w:sz w:val="18"/>
                <w:szCs w:val="18"/>
                <w:lang w:val="en-US"/>
              </w:rPr>
            </w:pPr>
            <w:r w:rsidRPr="00EE4972">
              <w:rPr>
                <w:rFonts w:ascii="Arial" w:hAnsi="Arial" w:cs="Arial"/>
                <w:sz w:val="18"/>
                <w:szCs w:val="18"/>
                <w:lang w:val="en-US"/>
              </w:rPr>
              <w:t>--</w:t>
            </w:r>
          </w:p>
        </w:tc>
      </w:tr>
      <w:tr w:rsidR="001706DC" w:rsidRPr="00EE4972" w14:paraId="3E6B9E8D" w14:textId="77777777" w:rsidTr="001706DC">
        <w:trPr>
          <w:trHeight w:val="284"/>
        </w:trPr>
        <w:tc>
          <w:tcPr>
            <w:tcW w:w="4361" w:type="dxa"/>
            <w:vAlign w:val="center"/>
          </w:tcPr>
          <w:p w14:paraId="72413E3E" w14:textId="2A48E3F6" w:rsidR="001706DC" w:rsidRPr="00EE4972" w:rsidRDefault="001706DC" w:rsidP="005E2FE7">
            <w:pPr>
              <w:tabs>
                <w:tab w:val="left" w:pos="8505"/>
              </w:tabs>
              <w:rPr>
                <w:rFonts w:ascii="Arial" w:hAnsi="Arial" w:cs="Arial"/>
                <w:sz w:val="18"/>
                <w:szCs w:val="18"/>
                <w:lang w:val="en-US"/>
              </w:rPr>
            </w:pPr>
            <w:r w:rsidRPr="007F68CF">
              <w:rPr>
                <w:rFonts w:ascii="Arial" w:hAnsi="Arial"/>
                <w:sz w:val="18"/>
                <w:lang w:val="en-GB"/>
              </w:rPr>
              <w:t xml:space="preserve">Consolidated net income [€ </w:t>
            </w:r>
            <w:r>
              <w:rPr>
                <w:rFonts w:ascii="Arial" w:hAnsi="Arial"/>
                <w:sz w:val="18"/>
                <w:lang w:val="en-GB"/>
              </w:rPr>
              <w:t>million</w:t>
            </w:r>
            <w:r w:rsidRPr="007F68CF">
              <w:rPr>
                <w:rFonts w:ascii="Arial" w:hAnsi="Arial"/>
                <w:sz w:val="18"/>
                <w:lang w:val="en-GB"/>
              </w:rPr>
              <w:t>]</w:t>
            </w:r>
          </w:p>
        </w:tc>
        <w:tc>
          <w:tcPr>
            <w:tcW w:w="1181" w:type="dxa"/>
            <w:vAlign w:val="center"/>
          </w:tcPr>
          <w:p w14:paraId="40AE537E" w14:textId="07B8DE7E" w:rsidR="001706DC" w:rsidRPr="00EE4972" w:rsidRDefault="001706DC" w:rsidP="00EE4972">
            <w:pPr>
              <w:tabs>
                <w:tab w:val="left" w:pos="8505"/>
              </w:tabs>
              <w:rPr>
                <w:rFonts w:ascii="Arial" w:hAnsi="Arial" w:cs="Arial"/>
                <w:sz w:val="18"/>
                <w:szCs w:val="18"/>
                <w:lang w:val="en-US"/>
              </w:rPr>
            </w:pPr>
            <w:r w:rsidRPr="00EE4972">
              <w:rPr>
                <w:rFonts w:ascii="Arial" w:hAnsi="Arial" w:cs="Arial"/>
                <w:sz w:val="18"/>
                <w:szCs w:val="18"/>
                <w:lang w:val="en-US"/>
              </w:rPr>
              <w:t>77</w:t>
            </w:r>
            <w:r w:rsidR="00EE4972">
              <w:rPr>
                <w:rFonts w:ascii="Arial" w:hAnsi="Arial" w:cs="Arial"/>
                <w:sz w:val="18"/>
                <w:szCs w:val="18"/>
                <w:lang w:val="en-US"/>
              </w:rPr>
              <w:t>.</w:t>
            </w:r>
            <w:r w:rsidRPr="00EE4972">
              <w:rPr>
                <w:rFonts w:ascii="Arial" w:hAnsi="Arial" w:cs="Arial"/>
                <w:sz w:val="18"/>
                <w:szCs w:val="18"/>
                <w:lang w:val="en-US"/>
              </w:rPr>
              <w:t>3</w:t>
            </w:r>
          </w:p>
        </w:tc>
        <w:tc>
          <w:tcPr>
            <w:tcW w:w="1181" w:type="dxa"/>
            <w:vAlign w:val="center"/>
          </w:tcPr>
          <w:p w14:paraId="53511E22" w14:textId="53B6F80D" w:rsidR="001706DC" w:rsidRPr="00EE4972" w:rsidRDefault="001706DC" w:rsidP="00EE4972">
            <w:pPr>
              <w:tabs>
                <w:tab w:val="left" w:pos="8505"/>
              </w:tabs>
              <w:rPr>
                <w:rFonts w:ascii="Arial" w:hAnsi="Arial" w:cs="Arial"/>
                <w:sz w:val="18"/>
                <w:szCs w:val="18"/>
                <w:lang w:val="en-US"/>
              </w:rPr>
            </w:pPr>
            <w:r w:rsidRPr="00EE4972">
              <w:rPr>
                <w:rFonts w:ascii="Arial" w:hAnsi="Arial" w:cs="Arial"/>
                <w:sz w:val="18"/>
                <w:szCs w:val="18"/>
                <w:lang w:val="en-US"/>
              </w:rPr>
              <w:t>115</w:t>
            </w:r>
            <w:r w:rsidR="00EE4972">
              <w:rPr>
                <w:rFonts w:ascii="Arial" w:hAnsi="Arial" w:cs="Arial"/>
                <w:sz w:val="18"/>
                <w:szCs w:val="18"/>
                <w:lang w:val="en-US"/>
              </w:rPr>
              <w:t>.</w:t>
            </w:r>
            <w:r w:rsidRPr="00EE4972">
              <w:rPr>
                <w:rFonts w:ascii="Arial" w:hAnsi="Arial" w:cs="Arial"/>
                <w:sz w:val="18"/>
                <w:szCs w:val="18"/>
                <w:lang w:val="en-US"/>
              </w:rPr>
              <w:t>1</w:t>
            </w:r>
          </w:p>
        </w:tc>
        <w:tc>
          <w:tcPr>
            <w:tcW w:w="1182" w:type="dxa"/>
            <w:vAlign w:val="center"/>
          </w:tcPr>
          <w:p w14:paraId="1542CAD2" w14:textId="78C1138C" w:rsidR="001706DC" w:rsidRPr="00EE4972" w:rsidRDefault="00EE4972" w:rsidP="00EE4972">
            <w:pPr>
              <w:tabs>
                <w:tab w:val="left" w:pos="8505"/>
              </w:tabs>
              <w:rPr>
                <w:rFonts w:ascii="Arial" w:hAnsi="Arial" w:cs="Arial"/>
                <w:sz w:val="18"/>
                <w:szCs w:val="18"/>
                <w:lang w:val="en-US"/>
              </w:rPr>
            </w:pPr>
            <w:r>
              <w:rPr>
                <w:rFonts w:ascii="Arial" w:hAnsi="Arial" w:cs="Arial"/>
                <w:sz w:val="18"/>
                <w:szCs w:val="18"/>
                <w:lang w:val="en-GB"/>
              </w:rPr>
              <w:t>(</w:t>
            </w:r>
            <w:r w:rsidR="001706DC">
              <w:rPr>
                <w:rFonts w:ascii="Arial" w:hAnsi="Arial" w:cs="Arial"/>
                <w:sz w:val="18"/>
                <w:szCs w:val="18"/>
                <w:lang w:val="en-GB"/>
              </w:rPr>
              <w:t>32</w:t>
            </w:r>
            <w:r>
              <w:rPr>
                <w:rFonts w:ascii="Arial" w:hAnsi="Arial" w:cs="Arial"/>
                <w:sz w:val="18"/>
                <w:szCs w:val="18"/>
                <w:lang w:val="en-GB"/>
              </w:rPr>
              <w:t>.</w:t>
            </w:r>
            <w:r w:rsidR="001706DC">
              <w:rPr>
                <w:rFonts w:ascii="Arial" w:hAnsi="Arial" w:cs="Arial"/>
                <w:sz w:val="18"/>
                <w:szCs w:val="18"/>
                <w:lang w:val="en-GB"/>
              </w:rPr>
              <w:t>8</w:t>
            </w:r>
            <w:r>
              <w:rPr>
                <w:rFonts w:ascii="Arial" w:hAnsi="Arial" w:cs="Arial"/>
                <w:sz w:val="18"/>
                <w:szCs w:val="18"/>
                <w:lang w:val="en-GB"/>
              </w:rPr>
              <w:t>)</w:t>
            </w:r>
            <w:r w:rsidR="001706DC" w:rsidRPr="007D4BEC">
              <w:rPr>
                <w:rFonts w:ascii="Arial" w:hAnsi="Arial" w:cs="Arial"/>
                <w:sz w:val="18"/>
                <w:szCs w:val="18"/>
                <w:lang w:val="en-GB"/>
              </w:rPr>
              <w:t xml:space="preserve"> %</w:t>
            </w:r>
          </w:p>
        </w:tc>
      </w:tr>
      <w:tr w:rsidR="001706DC" w:rsidRPr="00EE4972" w14:paraId="1BBCAE81" w14:textId="77777777" w:rsidTr="001706DC">
        <w:trPr>
          <w:trHeight w:val="284"/>
        </w:trPr>
        <w:tc>
          <w:tcPr>
            <w:tcW w:w="4361" w:type="dxa"/>
            <w:vAlign w:val="center"/>
          </w:tcPr>
          <w:p w14:paraId="60A25F52" w14:textId="495E2A3C" w:rsidR="001706DC" w:rsidRPr="00EE4972" w:rsidRDefault="001706DC" w:rsidP="005E2FE7">
            <w:pPr>
              <w:tabs>
                <w:tab w:val="left" w:pos="8505"/>
              </w:tabs>
              <w:rPr>
                <w:rFonts w:ascii="Arial" w:hAnsi="Arial" w:cs="Arial"/>
                <w:sz w:val="18"/>
                <w:szCs w:val="18"/>
                <w:lang w:val="en-US"/>
              </w:rPr>
            </w:pPr>
            <w:r w:rsidRPr="00A460D5">
              <w:rPr>
                <w:rFonts w:ascii="Arial" w:hAnsi="Arial"/>
                <w:noProof/>
                <w:sz w:val="18"/>
                <w:lang w:val="en-US"/>
              </w:rPr>
              <w:t xml:space="preserve">Free cash flow </w:t>
            </w:r>
            <w:r w:rsidRPr="00A460D5">
              <w:rPr>
                <w:rFonts w:ascii="Arial" w:hAnsi="Arial"/>
                <w:noProof/>
                <w:sz w:val="18"/>
                <w:vertAlign w:val="superscript"/>
                <w:lang w:val="en-US"/>
              </w:rPr>
              <w:t xml:space="preserve">(2) </w:t>
            </w:r>
            <w:r w:rsidRPr="00A460D5">
              <w:rPr>
                <w:rFonts w:ascii="Arial" w:hAnsi="Arial"/>
                <w:noProof/>
                <w:sz w:val="18"/>
                <w:lang w:val="en-US"/>
              </w:rPr>
              <w:t>[</w:t>
            </w:r>
            <w:r w:rsidRPr="007F68CF">
              <w:rPr>
                <w:rFonts w:ascii="Arial" w:hAnsi="Arial"/>
                <w:sz w:val="18"/>
                <w:lang w:val="en-GB"/>
              </w:rPr>
              <w:t xml:space="preserve">€ </w:t>
            </w:r>
            <w:r>
              <w:rPr>
                <w:rFonts w:ascii="Arial" w:hAnsi="Arial"/>
                <w:sz w:val="18"/>
                <w:lang w:val="en-GB"/>
              </w:rPr>
              <w:t>million</w:t>
            </w:r>
            <w:r w:rsidRPr="007F68CF">
              <w:rPr>
                <w:rFonts w:ascii="Arial" w:hAnsi="Arial"/>
                <w:sz w:val="18"/>
                <w:lang w:val="en-GB"/>
              </w:rPr>
              <w:t>]</w:t>
            </w:r>
          </w:p>
        </w:tc>
        <w:tc>
          <w:tcPr>
            <w:tcW w:w="1181" w:type="dxa"/>
            <w:vAlign w:val="center"/>
          </w:tcPr>
          <w:p w14:paraId="56C93746" w14:textId="676F5E2F" w:rsidR="001706DC" w:rsidRPr="00EE4972" w:rsidRDefault="00EE4972" w:rsidP="00EE4972">
            <w:pPr>
              <w:tabs>
                <w:tab w:val="left" w:pos="8505"/>
              </w:tabs>
              <w:rPr>
                <w:rFonts w:ascii="Arial" w:hAnsi="Arial" w:cs="Arial"/>
                <w:sz w:val="18"/>
                <w:szCs w:val="18"/>
                <w:lang w:val="en-US"/>
              </w:rPr>
            </w:pPr>
            <w:r>
              <w:rPr>
                <w:rFonts w:ascii="Arial" w:hAnsi="Arial" w:cs="Arial"/>
                <w:sz w:val="18"/>
                <w:szCs w:val="18"/>
                <w:lang w:val="en-US"/>
              </w:rPr>
              <w:t>(</w:t>
            </w:r>
            <w:r w:rsidR="001706DC" w:rsidRPr="00EE4972">
              <w:rPr>
                <w:rFonts w:ascii="Arial" w:hAnsi="Arial" w:cs="Arial"/>
                <w:sz w:val="18"/>
                <w:szCs w:val="18"/>
                <w:lang w:val="en-US"/>
              </w:rPr>
              <w:t>12</w:t>
            </w:r>
            <w:r>
              <w:rPr>
                <w:rFonts w:ascii="Arial" w:hAnsi="Arial" w:cs="Arial"/>
                <w:sz w:val="18"/>
                <w:szCs w:val="18"/>
                <w:lang w:val="en-US"/>
              </w:rPr>
              <w:t>.</w:t>
            </w:r>
            <w:r w:rsidR="001706DC" w:rsidRPr="00EE4972">
              <w:rPr>
                <w:rFonts w:ascii="Arial" w:hAnsi="Arial" w:cs="Arial"/>
                <w:sz w:val="18"/>
                <w:szCs w:val="18"/>
                <w:lang w:val="en-US"/>
              </w:rPr>
              <w:t>1</w:t>
            </w:r>
            <w:r>
              <w:rPr>
                <w:rFonts w:ascii="Arial" w:hAnsi="Arial" w:cs="Arial"/>
                <w:sz w:val="18"/>
                <w:szCs w:val="18"/>
                <w:lang w:val="en-US"/>
              </w:rPr>
              <w:t>)</w:t>
            </w:r>
          </w:p>
        </w:tc>
        <w:tc>
          <w:tcPr>
            <w:tcW w:w="1181" w:type="dxa"/>
            <w:vAlign w:val="center"/>
          </w:tcPr>
          <w:p w14:paraId="4A5E8158" w14:textId="24EC31F6" w:rsidR="001706DC" w:rsidRPr="00EE4972" w:rsidRDefault="00EE4972" w:rsidP="00EE4972">
            <w:pPr>
              <w:tabs>
                <w:tab w:val="left" w:pos="8505"/>
              </w:tabs>
              <w:rPr>
                <w:rFonts w:ascii="Arial" w:hAnsi="Arial" w:cs="Arial"/>
                <w:sz w:val="18"/>
                <w:szCs w:val="18"/>
                <w:lang w:val="en-US"/>
              </w:rPr>
            </w:pPr>
            <w:r>
              <w:rPr>
                <w:rFonts w:ascii="Arial" w:hAnsi="Arial" w:cs="Arial"/>
                <w:sz w:val="18"/>
                <w:szCs w:val="18"/>
                <w:lang w:val="en-US"/>
              </w:rPr>
              <w:t>(</w:t>
            </w:r>
            <w:r w:rsidR="001706DC" w:rsidRPr="00EE4972">
              <w:rPr>
                <w:rFonts w:ascii="Arial" w:hAnsi="Arial" w:cs="Arial"/>
                <w:sz w:val="18"/>
                <w:szCs w:val="18"/>
                <w:lang w:val="en-US"/>
              </w:rPr>
              <w:t>37</w:t>
            </w:r>
            <w:r>
              <w:rPr>
                <w:rFonts w:ascii="Arial" w:hAnsi="Arial" w:cs="Arial"/>
                <w:sz w:val="18"/>
                <w:szCs w:val="18"/>
                <w:lang w:val="en-US"/>
              </w:rPr>
              <w:t>.</w:t>
            </w:r>
            <w:r w:rsidR="001706DC" w:rsidRPr="00EE4972">
              <w:rPr>
                <w:rFonts w:ascii="Arial" w:hAnsi="Arial" w:cs="Arial"/>
                <w:sz w:val="18"/>
                <w:szCs w:val="18"/>
                <w:lang w:val="en-US"/>
              </w:rPr>
              <w:t>9</w:t>
            </w:r>
            <w:r>
              <w:rPr>
                <w:rFonts w:ascii="Arial" w:hAnsi="Arial" w:cs="Arial"/>
                <w:sz w:val="18"/>
                <w:szCs w:val="18"/>
                <w:lang w:val="en-US"/>
              </w:rPr>
              <w:t>)</w:t>
            </w:r>
          </w:p>
        </w:tc>
        <w:tc>
          <w:tcPr>
            <w:tcW w:w="1182" w:type="dxa"/>
            <w:vAlign w:val="center"/>
          </w:tcPr>
          <w:p w14:paraId="23695A5F" w14:textId="2F869AFF" w:rsidR="001706DC" w:rsidRPr="00EE4972" w:rsidRDefault="001706DC" w:rsidP="00EE4972">
            <w:pPr>
              <w:tabs>
                <w:tab w:val="left" w:pos="8505"/>
              </w:tabs>
              <w:rPr>
                <w:rFonts w:ascii="Arial" w:hAnsi="Arial" w:cs="Arial"/>
                <w:sz w:val="18"/>
                <w:szCs w:val="18"/>
                <w:lang w:val="en-US"/>
              </w:rPr>
            </w:pPr>
            <w:r w:rsidRPr="00EE4972">
              <w:rPr>
                <w:rFonts w:ascii="Arial" w:hAnsi="Arial" w:cs="Arial"/>
                <w:sz w:val="18"/>
                <w:szCs w:val="18"/>
                <w:lang w:val="en-US"/>
              </w:rPr>
              <w:t>+68</w:t>
            </w:r>
            <w:r w:rsidR="00EE4972">
              <w:rPr>
                <w:rFonts w:ascii="Arial" w:hAnsi="Arial" w:cs="Arial"/>
                <w:sz w:val="18"/>
                <w:szCs w:val="18"/>
                <w:lang w:val="en-US"/>
              </w:rPr>
              <w:t>.</w:t>
            </w:r>
            <w:r w:rsidRPr="00EE4972">
              <w:rPr>
                <w:rFonts w:ascii="Arial" w:hAnsi="Arial" w:cs="Arial"/>
                <w:sz w:val="18"/>
                <w:szCs w:val="18"/>
                <w:lang w:val="en-US"/>
              </w:rPr>
              <w:t>1 %</w:t>
            </w:r>
          </w:p>
        </w:tc>
      </w:tr>
      <w:tr w:rsidR="001706DC" w:rsidRPr="00EE4972" w14:paraId="1C40E474" w14:textId="77777777" w:rsidTr="001706DC">
        <w:trPr>
          <w:trHeight w:val="284"/>
        </w:trPr>
        <w:tc>
          <w:tcPr>
            <w:tcW w:w="4361" w:type="dxa"/>
            <w:vAlign w:val="center"/>
          </w:tcPr>
          <w:p w14:paraId="4F9F5A15" w14:textId="3C871FC8" w:rsidR="001706DC" w:rsidRPr="005456EE" w:rsidRDefault="001706DC" w:rsidP="005E2FE7">
            <w:pPr>
              <w:tabs>
                <w:tab w:val="left" w:pos="8505"/>
              </w:tabs>
              <w:rPr>
                <w:rFonts w:ascii="Arial" w:hAnsi="Arial" w:cs="Arial"/>
                <w:sz w:val="18"/>
                <w:szCs w:val="18"/>
                <w:lang w:val="en-US"/>
              </w:rPr>
            </w:pPr>
            <w:r>
              <w:rPr>
                <w:rFonts w:ascii="Arial" w:hAnsi="Arial"/>
                <w:sz w:val="18"/>
                <w:lang w:val="en-US"/>
              </w:rPr>
              <w:t>Return on capital employed</w:t>
            </w:r>
            <w:r w:rsidRPr="0004329A">
              <w:rPr>
                <w:rFonts w:ascii="Arial" w:hAnsi="Arial"/>
                <w:sz w:val="18"/>
                <w:lang w:val="en-US"/>
              </w:rPr>
              <w:t xml:space="preserve"> [</w:t>
            </w:r>
            <w:r>
              <w:rPr>
                <w:rFonts w:ascii="Arial" w:hAnsi="Arial"/>
                <w:sz w:val="18"/>
                <w:lang w:val="en-US"/>
              </w:rPr>
              <w:t>%</w:t>
            </w:r>
            <w:r w:rsidRPr="0004329A">
              <w:rPr>
                <w:rFonts w:ascii="Arial" w:hAnsi="Arial"/>
                <w:sz w:val="18"/>
                <w:lang w:val="en-US"/>
              </w:rPr>
              <w:t>]</w:t>
            </w:r>
          </w:p>
        </w:tc>
        <w:tc>
          <w:tcPr>
            <w:tcW w:w="1181" w:type="dxa"/>
            <w:vAlign w:val="center"/>
          </w:tcPr>
          <w:p w14:paraId="1F61806E" w14:textId="6C1A1CBB" w:rsidR="001706DC" w:rsidRPr="00EE4972" w:rsidRDefault="001706DC" w:rsidP="00EE4972">
            <w:pPr>
              <w:tabs>
                <w:tab w:val="left" w:pos="8505"/>
              </w:tabs>
              <w:rPr>
                <w:rFonts w:ascii="Arial" w:hAnsi="Arial" w:cs="Arial"/>
                <w:sz w:val="18"/>
                <w:szCs w:val="18"/>
                <w:lang w:val="en-US"/>
              </w:rPr>
            </w:pPr>
            <w:r w:rsidRPr="00EE4972">
              <w:rPr>
                <w:rFonts w:ascii="Arial" w:hAnsi="Arial" w:cs="Arial"/>
                <w:sz w:val="18"/>
                <w:szCs w:val="18"/>
                <w:lang w:val="en-US"/>
              </w:rPr>
              <w:t>10</w:t>
            </w:r>
            <w:r w:rsidR="00EE4972">
              <w:rPr>
                <w:rFonts w:ascii="Arial" w:hAnsi="Arial" w:cs="Arial"/>
                <w:sz w:val="18"/>
                <w:szCs w:val="18"/>
                <w:lang w:val="en-US"/>
              </w:rPr>
              <w:t>.</w:t>
            </w:r>
            <w:r w:rsidRPr="00EE4972">
              <w:rPr>
                <w:rFonts w:ascii="Arial" w:hAnsi="Arial" w:cs="Arial"/>
                <w:sz w:val="18"/>
                <w:szCs w:val="18"/>
                <w:lang w:val="en-US"/>
              </w:rPr>
              <w:t>0</w:t>
            </w:r>
          </w:p>
        </w:tc>
        <w:tc>
          <w:tcPr>
            <w:tcW w:w="1181" w:type="dxa"/>
            <w:vAlign w:val="center"/>
          </w:tcPr>
          <w:p w14:paraId="38B80CC3" w14:textId="18997674" w:rsidR="001706DC" w:rsidRPr="00EE4972" w:rsidRDefault="001706DC" w:rsidP="00EE4972">
            <w:pPr>
              <w:tabs>
                <w:tab w:val="left" w:pos="8505"/>
              </w:tabs>
              <w:rPr>
                <w:rFonts w:ascii="Arial" w:hAnsi="Arial" w:cs="Arial"/>
                <w:sz w:val="18"/>
                <w:szCs w:val="18"/>
                <w:lang w:val="en-US"/>
              </w:rPr>
            </w:pPr>
            <w:r w:rsidRPr="00EE4972">
              <w:rPr>
                <w:rFonts w:ascii="Arial" w:hAnsi="Arial" w:cs="Arial"/>
                <w:sz w:val="18"/>
                <w:szCs w:val="18"/>
                <w:lang w:val="en-US"/>
              </w:rPr>
              <w:t>13</w:t>
            </w:r>
            <w:r w:rsidR="00EE4972">
              <w:rPr>
                <w:rFonts w:ascii="Arial" w:hAnsi="Arial" w:cs="Arial"/>
                <w:sz w:val="18"/>
                <w:szCs w:val="18"/>
                <w:lang w:val="en-US"/>
              </w:rPr>
              <w:t>.</w:t>
            </w:r>
            <w:r w:rsidRPr="00EE4972">
              <w:rPr>
                <w:rFonts w:ascii="Arial" w:hAnsi="Arial" w:cs="Arial"/>
                <w:sz w:val="18"/>
                <w:szCs w:val="18"/>
                <w:lang w:val="en-US"/>
              </w:rPr>
              <w:t>7</w:t>
            </w:r>
          </w:p>
        </w:tc>
        <w:tc>
          <w:tcPr>
            <w:tcW w:w="1182" w:type="dxa"/>
            <w:vAlign w:val="center"/>
          </w:tcPr>
          <w:p w14:paraId="6CC9FECD" w14:textId="77777777" w:rsidR="001706DC" w:rsidRPr="00EE4972" w:rsidRDefault="001706DC" w:rsidP="005E2FE7">
            <w:pPr>
              <w:tabs>
                <w:tab w:val="left" w:pos="8505"/>
              </w:tabs>
              <w:rPr>
                <w:rFonts w:ascii="Arial" w:hAnsi="Arial" w:cs="Arial"/>
                <w:sz w:val="18"/>
                <w:szCs w:val="18"/>
                <w:lang w:val="en-US"/>
              </w:rPr>
            </w:pPr>
            <w:r w:rsidRPr="00EE4972">
              <w:rPr>
                <w:rFonts w:ascii="Arial" w:hAnsi="Arial" w:cs="Arial"/>
                <w:sz w:val="18"/>
                <w:szCs w:val="18"/>
                <w:lang w:val="en-US"/>
              </w:rPr>
              <w:t>--</w:t>
            </w:r>
          </w:p>
        </w:tc>
      </w:tr>
      <w:tr w:rsidR="001706DC" w:rsidRPr="00EE4972" w14:paraId="53AF616D" w14:textId="77777777" w:rsidTr="001706DC">
        <w:trPr>
          <w:trHeight w:val="284"/>
        </w:trPr>
        <w:tc>
          <w:tcPr>
            <w:tcW w:w="4361" w:type="dxa"/>
            <w:vAlign w:val="center"/>
          </w:tcPr>
          <w:p w14:paraId="1EFEFE47" w14:textId="26DB0949" w:rsidR="001706DC" w:rsidRPr="001706DC" w:rsidRDefault="001706DC" w:rsidP="005E2FE7">
            <w:pPr>
              <w:tabs>
                <w:tab w:val="left" w:pos="8505"/>
              </w:tabs>
              <w:rPr>
                <w:rFonts w:ascii="Arial" w:hAnsi="Arial" w:cs="Arial"/>
                <w:sz w:val="18"/>
                <w:szCs w:val="18"/>
                <w:lang w:val="en-US"/>
              </w:rPr>
            </w:pPr>
            <w:r w:rsidRPr="00B8338C">
              <w:rPr>
                <w:rFonts w:ascii="Arial" w:hAnsi="Arial"/>
                <w:sz w:val="18"/>
                <w:lang w:val="en-GB"/>
              </w:rPr>
              <w:t xml:space="preserve">Capital expenditure on property, plant and equipment as well as intangible assets </w:t>
            </w:r>
            <w:r w:rsidRPr="007F68CF">
              <w:rPr>
                <w:rFonts w:ascii="Arial" w:hAnsi="Arial"/>
                <w:sz w:val="18"/>
                <w:lang w:val="en-GB"/>
              </w:rPr>
              <w:t>[</w:t>
            </w:r>
            <w:r>
              <w:rPr>
                <w:rFonts w:ascii="Arial" w:hAnsi="Arial"/>
                <w:sz w:val="18"/>
                <w:lang w:val="en-GB"/>
              </w:rPr>
              <w:t>€ million</w:t>
            </w:r>
            <w:r w:rsidRPr="007F68CF">
              <w:rPr>
                <w:rFonts w:ascii="Arial" w:hAnsi="Arial"/>
                <w:sz w:val="18"/>
                <w:lang w:val="en-GB"/>
              </w:rPr>
              <w:t>]</w:t>
            </w:r>
          </w:p>
        </w:tc>
        <w:tc>
          <w:tcPr>
            <w:tcW w:w="1181" w:type="dxa"/>
            <w:vAlign w:val="center"/>
          </w:tcPr>
          <w:p w14:paraId="20B355D9" w14:textId="24405CB6" w:rsidR="001706DC" w:rsidRPr="00EE4972" w:rsidRDefault="001706DC" w:rsidP="00EE4972">
            <w:pPr>
              <w:tabs>
                <w:tab w:val="left" w:pos="8505"/>
              </w:tabs>
              <w:rPr>
                <w:rFonts w:ascii="Arial" w:hAnsi="Arial" w:cs="Arial"/>
                <w:sz w:val="18"/>
                <w:szCs w:val="18"/>
                <w:lang w:val="en-US"/>
              </w:rPr>
            </w:pPr>
            <w:r w:rsidRPr="00EE4972">
              <w:rPr>
                <w:rFonts w:ascii="Arial" w:hAnsi="Arial" w:cs="Arial"/>
                <w:sz w:val="18"/>
                <w:szCs w:val="18"/>
                <w:lang w:val="en-US"/>
              </w:rPr>
              <w:t>247</w:t>
            </w:r>
            <w:r w:rsidR="00EE4972">
              <w:rPr>
                <w:rFonts w:ascii="Arial" w:hAnsi="Arial" w:cs="Arial"/>
                <w:sz w:val="18"/>
                <w:szCs w:val="18"/>
                <w:lang w:val="en-US"/>
              </w:rPr>
              <w:t>.</w:t>
            </w:r>
            <w:r w:rsidRPr="00EE4972">
              <w:rPr>
                <w:rFonts w:ascii="Arial" w:hAnsi="Arial" w:cs="Arial"/>
                <w:sz w:val="18"/>
                <w:szCs w:val="18"/>
                <w:lang w:val="en-US"/>
              </w:rPr>
              <w:t>5</w:t>
            </w:r>
          </w:p>
        </w:tc>
        <w:tc>
          <w:tcPr>
            <w:tcW w:w="1181" w:type="dxa"/>
            <w:vAlign w:val="center"/>
          </w:tcPr>
          <w:p w14:paraId="12D55947" w14:textId="14839249" w:rsidR="001706DC" w:rsidRPr="00EE4972" w:rsidRDefault="001706DC" w:rsidP="00EE4972">
            <w:pPr>
              <w:tabs>
                <w:tab w:val="left" w:pos="8505"/>
              </w:tabs>
              <w:rPr>
                <w:rFonts w:ascii="Arial" w:hAnsi="Arial" w:cs="Arial"/>
                <w:sz w:val="18"/>
                <w:szCs w:val="18"/>
                <w:lang w:val="en-US"/>
              </w:rPr>
            </w:pPr>
            <w:r w:rsidRPr="00EE4972">
              <w:rPr>
                <w:rFonts w:ascii="Arial" w:hAnsi="Arial" w:cs="Arial"/>
                <w:sz w:val="18"/>
                <w:szCs w:val="18"/>
                <w:lang w:val="en-US"/>
              </w:rPr>
              <w:t>215</w:t>
            </w:r>
            <w:r w:rsidR="00EE4972">
              <w:rPr>
                <w:rFonts w:ascii="Arial" w:hAnsi="Arial" w:cs="Arial"/>
                <w:sz w:val="18"/>
                <w:szCs w:val="18"/>
                <w:lang w:val="en-US"/>
              </w:rPr>
              <w:t>.</w:t>
            </w:r>
            <w:r w:rsidRPr="00EE4972">
              <w:rPr>
                <w:rFonts w:ascii="Arial" w:hAnsi="Arial" w:cs="Arial"/>
                <w:sz w:val="18"/>
                <w:szCs w:val="18"/>
                <w:lang w:val="en-US"/>
              </w:rPr>
              <w:t>8</w:t>
            </w:r>
          </w:p>
        </w:tc>
        <w:tc>
          <w:tcPr>
            <w:tcW w:w="1182" w:type="dxa"/>
            <w:vAlign w:val="center"/>
          </w:tcPr>
          <w:p w14:paraId="2F61BD7E" w14:textId="65C5BCBA" w:rsidR="001706DC" w:rsidRPr="00EE4972" w:rsidRDefault="001706DC" w:rsidP="00EE4972">
            <w:pPr>
              <w:tabs>
                <w:tab w:val="left" w:pos="8505"/>
              </w:tabs>
              <w:rPr>
                <w:rFonts w:ascii="Arial" w:hAnsi="Arial" w:cs="Arial"/>
                <w:sz w:val="18"/>
                <w:szCs w:val="18"/>
                <w:lang w:val="en-US"/>
              </w:rPr>
            </w:pPr>
            <w:r w:rsidRPr="00EE4972">
              <w:rPr>
                <w:rFonts w:ascii="Arial" w:hAnsi="Arial" w:cs="Arial"/>
                <w:sz w:val="18"/>
                <w:szCs w:val="18"/>
                <w:lang w:val="en-US"/>
              </w:rPr>
              <w:t>+14</w:t>
            </w:r>
            <w:r w:rsidR="00EE4972">
              <w:rPr>
                <w:rFonts w:ascii="Arial" w:hAnsi="Arial" w:cs="Arial"/>
                <w:sz w:val="18"/>
                <w:szCs w:val="18"/>
                <w:lang w:val="en-US"/>
              </w:rPr>
              <w:t>.</w:t>
            </w:r>
            <w:r w:rsidRPr="00EE4972">
              <w:rPr>
                <w:rFonts w:ascii="Arial" w:hAnsi="Arial" w:cs="Arial"/>
                <w:sz w:val="18"/>
                <w:szCs w:val="18"/>
                <w:lang w:val="en-US"/>
              </w:rPr>
              <w:t>7 %</w:t>
            </w:r>
          </w:p>
        </w:tc>
      </w:tr>
      <w:tr w:rsidR="001706DC" w:rsidRPr="00EE4972" w14:paraId="21017302" w14:textId="77777777" w:rsidTr="001706DC">
        <w:trPr>
          <w:trHeight w:val="284"/>
        </w:trPr>
        <w:tc>
          <w:tcPr>
            <w:tcW w:w="4361" w:type="dxa"/>
            <w:vAlign w:val="center"/>
          </w:tcPr>
          <w:p w14:paraId="050BBCA9" w14:textId="3BFFEFE4" w:rsidR="001706DC" w:rsidRPr="00EE4972" w:rsidRDefault="001706DC" w:rsidP="005E2FE7">
            <w:pPr>
              <w:tabs>
                <w:tab w:val="left" w:pos="8505"/>
              </w:tabs>
              <w:rPr>
                <w:rFonts w:ascii="Arial" w:hAnsi="Arial" w:cs="Arial"/>
                <w:sz w:val="18"/>
                <w:szCs w:val="18"/>
                <w:lang w:val="en-US"/>
              </w:rPr>
            </w:pPr>
            <w:r w:rsidRPr="0004329A">
              <w:rPr>
                <w:rFonts w:ascii="Arial" w:hAnsi="Arial"/>
                <w:sz w:val="18"/>
                <w:lang w:val="en-GB"/>
              </w:rPr>
              <w:t>Employees (as at 31 Dec.)</w:t>
            </w:r>
          </w:p>
        </w:tc>
        <w:tc>
          <w:tcPr>
            <w:tcW w:w="1181" w:type="dxa"/>
            <w:vAlign w:val="center"/>
          </w:tcPr>
          <w:p w14:paraId="5B44E0D4" w14:textId="097482F8" w:rsidR="001706DC" w:rsidRPr="00EE4972" w:rsidRDefault="001706DC" w:rsidP="00EE4972">
            <w:pPr>
              <w:tabs>
                <w:tab w:val="left" w:pos="8505"/>
              </w:tabs>
              <w:rPr>
                <w:rFonts w:ascii="Arial" w:hAnsi="Arial" w:cs="Arial"/>
                <w:sz w:val="18"/>
                <w:szCs w:val="18"/>
                <w:lang w:val="en-US"/>
              </w:rPr>
            </w:pPr>
            <w:r w:rsidRPr="00EE4972">
              <w:rPr>
                <w:rFonts w:ascii="Arial" w:hAnsi="Arial" w:cs="Arial"/>
                <w:sz w:val="18"/>
                <w:szCs w:val="18"/>
                <w:lang w:val="en-US"/>
              </w:rPr>
              <w:t>74</w:t>
            </w:r>
            <w:r w:rsidR="00EE4972">
              <w:rPr>
                <w:rFonts w:ascii="Arial" w:hAnsi="Arial" w:cs="Arial"/>
                <w:sz w:val="18"/>
                <w:szCs w:val="18"/>
                <w:lang w:val="en-US"/>
              </w:rPr>
              <w:t>,</w:t>
            </w:r>
            <w:r w:rsidRPr="00EE4972">
              <w:rPr>
                <w:rFonts w:ascii="Arial" w:hAnsi="Arial" w:cs="Arial"/>
                <w:sz w:val="18"/>
                <w:szCs w:val="18"/>
                <w:lang w:val="en-US"/>
              </w:rPr>
              <w:t>018</w:t>
            </w:r>
          </w:p>
        </w:tc>
        <w:tc>
          <w:tcPr>
            <w:tcW w:w="1181" w:type="dxa"/>
            <w:vAlign w:val="center"/>
          </w:tcPr>
          <w:p w14:paraId="1E09B55A" w14:textId="4F85449A" w:rsidR="001706DC" w:rsidRPr="00EE4972" w:rsidRDefault="001706DC" w:rsidP="00EE4972">
            <w:pPr>
              <w:tabs>
                <w:tab w:val="left" w:pos="8505"/>
              </w:tabs>
              <w:rPr>
                <w:rFonts w:ascii="Arial" w:hAnsi="Arial" w:cs="Arial"/>
                <w:sz w:val="18"/>
                <w:szCs w:val="18"/>
                <w:lang w:val="en-US"/>
              </w:rPr>
            </w:pPr>
            <w:r w:rsidRPr="00EE4972">
              <w:rPr>
                <w:rFonts w:ascii="Arial" w:hAnsi="Arial" w:cs="Arial"/>
                <w:sz w:val="18"/>
                <w:szCs w:val="18"/>
                <w:lang w:val="en-US"/>
              </w:rPr>
              <w:t>67</w:t>
            </w:r>
            <w:r w:rsidR="00EE4972">
              <w:rPr>
                <w:rFonts w:ascii="Arial" w:hAnsi="Arial" w:cs="Arial"/>
                <w:sz w:val="18"/>
                <w:szCs w:val="18"/>
                <w:lang w:val="en-US"/>
              </w:rPr>
              <w:t>,</w:t>
            </w:r>
            <w:r w:rsidRPr="00EE4972">
              <w:rPr>
                <w:rFonts w:ascii="Arial" w:hAnsi="Arial" w:cs="Arial"/>
                <w:sz w:val="18"/>
                <w:szCs w:val="18"/>
                <w:lang w:val="en-US"/>
              </w:rPr>
              <w:t>988</w:t>
            </w:r>
          </w:p>
        </w:tc>
        <w:tc>
          <w:tcPr>
            <w:tcW w:w="1182" w:type="dxa"/>
            <w:vAlign w:val="center"/>
          </w:tcPr>
          <w:p w14:paraId="3B9011A3" w14:textId="5B3F4D90" w:rsidR="001706DC" w:rsidRPr="00EE4972" w:rsidRDefault="001706DC" w:rsidP="00EE4972">
            <w:pPr>
              <w:tabs>
                <w:tab w:val="left" w:pos="8505"/>
              </w:tabs>
              <w:rPr>
                <w:rFonts w:ascii="Arial" w:hAnsi="Arial" w:cs="Arial"/>
                <w:sz w:val="18"/>
                <w:szCs w:val="18"/>
                <w:lang w:val="en-US"/>
              </w:rPr>
            </w:pPr>
            <w:r w:rsidRPr="00EE4972">
              <w:rPr>
                <w:rFonts w:ascii="Arial" w:hAnsi="Arial" w:cs="Arial"/>
                <w:sz w:val="18"/>
                <w:szCs w:val="18"/>
                <w:lang w:val="en-US"/>
              </w:rPr>
              <w:t>+8</w:t>
            </w:r>
            <w:r w:rsidR="00EE4972">
              <w:rPr>
                <w:rFonts w:ascii="Arial" w:hAnsi="Arial" w:cs="Arial"/>
                <w:sz w:val="18"/>
                <w:szCs w:val="18"/>
                <w:lang w:val="en-US"/>
              </w:rPr>
              <w:t>.</w:t>
            </w:r>
            <w:r w:rsidRPr="00EE4972">
              <w:rPr>
                <w:rFonts w:ascii="Arial" w:hAnsi="Arial" w:cs="Arial"/>
                <w:sz w:val="18"/>
                <w:szCs w:val="18"/>
                <w:lang w:val="en-US"/>
              </w:rPr>
              <w:t>9 %</w:t>
            </w:r>
          </w:p>
        </w:tc>
      </w:tr>
    </w:tbl>
    <w:p w14:paraId="4FA5D091" w14:textId="77777777" w:rsidR="006678E0" w:rsidRPr="00EE4972" w:rsidRDefault="006678E0" w:rsidP="006678E0">
      <w:pPr>
        <w:autoSpaceDE w:val="0"/>
        <w:autoSpaceDN w:val="0"/>
        <w:adjustRightInd w:val="0"/>
        <w:ind w:left="360" w:right="1854"/>
        <w:rPr>
          <w:rFonts w:ascii="Arial" w:hAnsi="Arial" w:cs="Arial"/>
          <w:i/>
          <w:sz w:val="16"/>
          <w:szCs w:val="16"/>
          <w:lang w:val="en-US"/>
        </w:rPr>
      </w:pPr>
    </w:p>
    <w:p w14:paraId="53ACC1B2" w14:textId="77777777" w:rsidR="001706DC" w:rsidRPr="00A460D5" w:rsidRDefault="001706DC" w:rsidP="001706DC">
      <w:pPr>
        <w:pStyle w:val="Listenabsatz"/>
        <w:numPr>
          <w:ilvl w:val="0"/>
          <w:numId w:val="3"/>
        </w:numPr>
        <w:autoSpaceDE w:val="0"/>
        <w:autoSpaceDN w:val="0"/>
        <w:adjustRightInd w:val="0"/>
        <w:ind w:left="284" w:right="1711" w:hanging="284"/>
        <w:rPr>
          <w:rFonts w:ascii="Arial" w:hAnsi="Arial"/>
          <w:i/>
          <w:sz w:val="16"/>
          <w:lang w:val="en-US"/>
        </w:rPr>
      </w:pPr>
      <w:r w:rsidRPr="00A460D5">
        <w:rPr>
          <w:rFonts w:ascii="Arial" w:hAnsi="Arial"/>
          <w:i/>
          <w:sz w:val="16"/>
          <w:lang w:val="en-US"/>
        </w:rPr>
        <w:t>Earnings adjusted for the impact of revaluation as part of allocating the prices of the major acquisitions, restructuring, impairment of non-current assets, capital gains on the disposal of businesses and income from business combinations including related derivatives</w:t>
      </w:r>
    </w:p>
    <w:p w14:paraId="3E4A7119" w14:textId="28E8FAEB" w:rsidR="006678E0" w:rsidRPr="00EE4972" w:rsidRDefault="001706DC" w:rsidP="00EE4972">
      <w:pPr>
        <w:pStyle w:val="Listenabsatz"/>
        <w:numPr>
          <w:ilvl w:val="0"/>
          <w:numId w:val="3"/>
        </w:numPr>
        <w:autoSpaceDE w:val="0"/>
        <w:autoSpaceDN w:val="0"/>
        <w:adjustRightInd w:val="0"/>
        <w:ind w:left="284" w:right="1711" w:hanging="284"/>
        <w:rPr>
          <w:rFonts w:ascii="Arial" w:hAnsi="Arial"/>
          <w:i/>
          <w:sz w:val="16"/>
          <w:lang w:val="en-US"/>
        </w:rPr>
      </w:pPr>
      <w:r w:rsidRPr="00EE4972">
        <w:rPr>
          <w:rFonts w:ascii="Arial" w:hAnsi="Arial"/>
          <w:i/>
          <w:sz w:val="16"/>
          <w:lang w:val="en-US"/>
        </w:rPr>
        <w:t xml:space="preserve">before acquisitions </w:t>
      </w:r>
      <w:r w:rsidR="00EE4972" w:rsidRPr="00EE4972">
        <w:rPr>
          <w:rFonts w:ascii="Arial" w:hAnsi="Arial"/>
          <w:i/>
          <w:sz w:val="16"/>
          <w:lang w:val="en-US"/>
        </w:rPr>
        <w:t>/ d</w:t>
      </w:r>
      <w:r w:rsidRPr="00EE4972">
        <w:rPr>
          <w:rFonts w:ascii="Arial" w:hAnsi="Arial"/>
          <w:i/>
          <w:sz w:val="16"/>
          <w:lang w:val="en-US"/>
        </w:rPr>
        <w:t>ivestment</w:t>
      </w:r>
      <w:r w:rsidR="00EE4972" w:rsidRPr="00EE4972">
        <w:rPr>
          <w:rFonts w:ascii="Arial" w:hAnsi="Arial"/>
          <w:i/>
          <w:sz w:val="16"/>
          <w:lang w:val="en-US"/>
        </w:rPr>
        <w:t>s and taking related costs into account</w:t>
      </w:r>
      <w:r w:rsidRPr="00EE4972">
        <w:rPr>
          <w:rFonts w:ascii="Arial" w:hAnsi="Arial"/>
          <w:i/>
          <w:sz w:val="16"/>
          <w:lang w:val="en-US"/>
        </w:rPr>
        <w:br/>
      </w:r>
      <w:r>
        <w:rPr>
          <w:rFonts w:ascii="Arial" w:hAnsi="Arial"/>
          <w:i/>
          <w:sz w:val="16"/>
          <w:lang w:val="en-GB"/>
        </w:rPr>
        <w:br/>
      </w:r>
    </w:p>
    <w:p w14:paraId="7EFAB109" w14:textId="5511CC37" w:rsidR="001706DC" w:rsidRPr="002C6631" w:rsidRDefault="001706DC" w:rsidP="001706DC">
      <w:pPr>
        <w:ind w:right="1922"/>
        <w:rPr>
          <w:rFonts w:ascii="Arial" w:hAnsi="Arial" w:cs="Arial"/>
          <w:i/>
          <w:sz w:val="22"/>
          <w:szCs w:val="22"/>
          <w:lang w:val="en-GB"/>
        </w:rPr>
      </w:pPr>
      <w:r w:rsidRPr="00C85271">
        <w:rPr>
          <w:rFonts w:ascii="Arial" w:hAnsi="Arial"/>
          <w:sz w:val="36"/>
          <w:szCs w:val="36"/>
          <w:lang w:val="en-GB"/>
        </w:rPr>
        <w:sym w:font="Wingdings" w:char="F046"/>
      </w:r>
      <w:r w:rsidRPr="00C85271">
        <w:rPr>
          <w:rFonts w:ascii="Arial" w:hAnsi="Arial"/>
          <w:i/>
          <w:sz w:val="20"/>
          <w:lang w:val="en-GB"/>
        </w:rPr>
        <w:t xml:space="preserve"> </w:t>
      </w:r>
      <w:r w:rsidRPr="002C6631">
        <w:rPr>
          <w:rFonts w:ascii="Arial" w:hAnsi="Arial"/>
          <w:i/>
          <w:sz w:val="22"/>
          <w:szCs w:val="22"/>
          <w:lang w:val="en-GB"/>
        </w:rPr>
        <w:t xml:space="preserve">Related illustration material and further information can be downloaded </w:t>
      </w:r>
      <w:r w:rsidRPr="002C6631">
        <w:rPr>
          <w:rFonts w:ascii="Arial" w:hAnsi="Arial" w:cs="Arial"/>
          <w:i/>
          <w:sz w:val="22"/>
          <w:szCs w:val="22"/>
          <w:lang w:val="en-GB"/>
        </w:rPr>
        <w:t xml:space="preserve">next to this </w:t>
      </w:r>
      <w:r w:rsidRPr="00EE4972">
        <w:rPr>
          <w:rFonts w:ascii="Arial" w:hAnsi="Arial" w:cs="Arial"/>
          <w:i/>
          <w:sz w:val="22"/>
          <w:szCs w:val="22"/>
          <w:lang w:val="en-GB"/>
        </w:rPr>
        <w:t xml:space="preserve">release at </w:t>
      </w:r>
      <w:hyperlink r:id="rId9" w:history="1">
        <w:r w:rsidR="00EE4972" w:rsidRPr="00EE4972">
          <w:rPr>
            <w:rStyle w:val="Hyperlink"/>
            <w:rFonts w:ascii="Arial" w:hAnsi="Arial" w:cs="Arial"/>
            <w:i/>
            <w:sz w:val="22"/>
            <w:szCs w:val="22"/>
            <w:lang w:val="en-GB"/>
          </w:rPr>
          <w:t>www.leoni.com/en/press/releases/details/leoni-restructuring-its-wiring-systems-business/</w:t>
        </w:r>
      </w:hyperlink>
      <w:r w:rsidRPr="00C85271">
        <w:rPr>
          <w:rFonts w:ascii="Arial" w:hAnsi="Arial"/>
          <w:i/>
          <w:sz w:val="21"/>
          <w:lang w:val="en-GB"/>
        </w:rPr>
        <w:t xml:space="preserve"> </w:t>
      </w:r>
      <w:r>
        <w:rPr>
          <w:rFonts w:ascii="Arial" w:hAnsi="Arial"/>
          <w:i/>
          <w:sz w:val="21"/>
          <w:lang w:val="en-GB"/>
        </w:rPr>
        <w:br/>
      </w:r>
      <w:r w:rsidRPr="002C049D">
        <w:rPr>
          <w:rFonts w:ascii="Arial" w:hAnsi="Arial"/>
          <w:sz w:val="36"/>
          <w:szCs w:val="36"/>
          <w:lang w:val="en-GB"/>
        </w:rPr>
        <w:sym w:font="Wingdings" w:char="F046"/>
      </w:r>
      <w:r w:rsidRPr="002C049D">
        <w:rPr>
          <w:rFonts w:ascii="Arial" w:hAnsi="Arial"/>
          <w:i/>
          <w:sz w:val="20"/>
          <w:lang w:val="en-GB"/>
        </w:rPr>
        <w:t xml:space="preserve"> </w:t>
      </w:r>
      <w:r w:rsidRPr="002C6631">
        <w:rPr>
          <w:rFonts w:ascii="Arial" w:hAnsi="Arial"/>
          <w:i/>
          <w:sz w:val="22"/>
          <w:szCs w:val="22"/>
          <w:lang w:val="en-GB"/>
        </w:rPr>
        <w:t xml:space="preserve">The complete annual report can be downloaded from </w:t>
      </w:r>
      <w:hyperlink r:id="rId10" w:history="1">
        <w:r w:rsidRPr="002C6631">
          <w:rPr>
            <w:rStyle w:val="Hyperlink"/>
            <w:rFonts w:ascii="Arial" w:hAnsi="Arial" w:cs="Arial"/>
            <w:i/>
            <w:sz w:val="22"/>
            <w:szCs w:val="22"/>
            <w:lang w:val="en-US"/>
          </w:rPr>
          <w:t>www.leoni.com/en/financial-publications/</w:t>
        </w:r>
      </w:hyperlink>
    </w:p>
    <w:p w14:paraId="12DF7F9D" w14:textId="77777777" w:rsidR="00A52F7C" w:rsidRDefault="00A52F7C">
      <w:pPr>
        <w:rPr>
          <w:rFonts w:ascii="Arial" w:hAnsi="Arial" w:cs="Arial"/>
          <w:b/>
          <w:color w:val="112E6B"/>
          <w:sz w:val="20"/>
          <w:szCs w:val="20"/>
          <w:lang w:val="en-GB"/>
        </w:rPr>
      </w:pPr>
      <w:r>
        <w:rPr>
          <w:lang w:val="en-GB"/>
        </w:rPr>
        <w:br w:type="page"/>
      </w:r>
    </w:p>
    <w:p w14:paraId="7266ABB7" w14:textId="7ECCD39F" w:rsidR="001706DC" w:rsidRPr="00C85271" w:rsidRDefault="001706DC" w:rsidP="001706DC">
      <w:pPr>
        <w:pStyle w:val="MMKurzprofilberschrift"/>
        <w:rPr>
          <w:lang w:val="en-GB"/>
        </w:rPr>
      </w:pPr>
      <w:r w:rsidRPr="00C85271">
        <w:rPr>
          <w:lang w:val="en-GB"/>
        </w:rPr>
        <w:lastRenderedPageBreak/>
        <w:t>About the Leoni Group</w:t>
      </w:r>
    </w:p>
    <w:p w14:paraId="29DF6B2C" w14:textId="3F499CAB" w:rsidR="001706DC" w:rsidRPr="00EE4972" w:rsidRDefault="001706DC" w:rsidP="001706DC">
      <w:pPr>
        <w:pStyle w:val="MMKurzprofil"/>
        <w:rPr>
          <w:sz w:val="12"/>
          <w:szCs w:val="12"/>
          <w:lang w:val="en-US"/>
        </w:rPr>
      </w:pPr>
      <w:r w:rsidRPr="001706DC">
        <w:rPr>
          <w:lang w:val="en-US"/>
        </w:rPr>
        <w:t xml:space="preserve">Leoni is a global supplier of wires, optical fibers, cables and cable systems as well as related services for the automotive sector and further industries. Leoni develops and produces technically sophisticated products from single-core automotive cables through to complete wiring systems. Leoni’s product range also comprises wires and strands, </w:t>
      </w:r>
      <w:proofErr w:type="spellStart"/>
      <w:r w:rsidRPr="001706DC">
        <w:rPr>
          <w:lang w:val="en-US"/>
        </w:rPr>
        <w:t>standardised</w:t>
      </w:r>
      <w:proofErr w:type="spellEnd"/>
      <w:r w:rsidRPr="001706DC">
        <w:rPr>
          <w:lang w:val="en-US"/>
        </w:rPr>
        <w:t xml:space="preserve"> cables, special cables and cable system assemblies for various industrial markets. The group of companies, which is listed on the German MDAX, employs about </w:t>
      </w:r>
      <w:r>
        <w:rPr>
          <w:lang w:val="en-US"/>
        </w:rPr>
        <w:t>74</w:t>
      </w:r>
      <w:r w:rsidRPr="001706DC">
        <w:rPr>
          <w:lang w:val="en-US"/>
        </w:rPr>
        <w:t>,000 people in 3</w:t>
      </w:r>
      <w:r>
        <w:rPr>
          <w:lang w:val="en-US"/>
        </w:rPr>
        <w:t>2</w:t>
      </w:r>
      <w:r w:rsidRPr="001706DC">
        <w:rPr>
          <w:lang w:val="en-US"/>
        </w:rPr>
        <w:t xml:space="preserve"> countries and generated consolidated sales of EUR 4.</w:t>
      </w:r>
      <w:r>
        <w:rPr>
          <w:lang w:val="en-US"/>
        </w:rPr>
        <w:t>5</w:t>
      </w:r>
      <w:r w:rsidRPr="001706DC">
        <w:rPr>
          <w:lang w:val="en-US"/>
        </w:rPr>
        <w:t xml:space="preserve"> billion in 201</w:t>
      </w:r>
      <w:r>
        <w:rPr>
          <w:lang w:val="en-US"/>
        </w:rPr>
        <w:t>5</w:t>
      </w:r>
      <w:r w:rsidRPr="001706DC">
        <w:rPr>
          <w:lang w:val="en-US"/>
        </w:rPr>
        <w:t>.</w:t>
      </w:r>
      <w:r w:rsidR="00EE4972">
        <w:rPr>
          <w:lang w:val="en-US"/>
        </w:rPr>
        <w:br/>
      </w:r>
    </w:p>
    <w:p w14:paraId="4EC63CEB" w14:textId="537E7F7B" w:rsidR="001706DC" w:rsidRPr="001706DC" w:rsidRDefault="00336F7B" w:rsidP="001706DC">
      <w:pPr>
        <w:pStyle w:val="MMKurzprofil"/>
        <w:rPr>
          <w:noProof/>
          <w:lang w:val="en-US"/>
        </w:rPr>
      </w:pPr>
      <w:hyperlink r:id="rId11" w:tgtFrame="_blank" w:history="1">
        <w:r>
          <w:rPr>
            <w:noProof/>
          </w:rPr>
          <w:pict w14:anchorId="506AA6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href="http://www.facebook.com/theleonigroup" target="_blank" style="width:14.25pt;height:14.25pt;visibility:visible;mso-wrap-style:square" o:button="t">
              <v:imagedata r:id="rId12" o:title=""/>
            </v:shape>
          </w:pict>
        </w:r>
      </w:hyperlink>
      <w:r w:rsidR="001706DC" w:rsidRPr="001706DC">
        <w:rPr>
          <w:noProof/>
          <w:lang w:val="en-US"/>
        </w:rPr>
        <w:t xml:space="preserve"> </w:t>
      </w:r>
      <w:r w:rsidR="001706DC">
        <w:rPr>
          <w:noProof/>
        </w:rPr>
        <w:drawing>
          <wp:inline distT="0" distB="0" distL="0" distR="0" wp14:anchorId="388C71E8" wp14:editId="75A6E765">
            <wp:extent cx="180975" cy="180975"/>
            <wp:effectExtent l="0" t="0" r="9525" b="9525"/>
            <wp:docPr id="7" name="Grafik 7">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14:paraId="5DC6621F" w14:textId="66CE36DB" w:rsidR="001706DC" w:rsidRPr="001706DC" w:rsidRDefault="001706DC" w:rsidP="001706DC">
      <w:pPr>
        <w:pStyle w:val="MMKurzprofilberschrift"/>
        <w:rPr>
          <w:lang w:val="en-GB"/>
        </w:rPr>
      </w:pPr>
      <w:r w:rsidRPr="001706DC">
        <w:rPr>
          <w:lang w:val="en-GB"/>
        </w:rPr>
        <w:t>Contact person for journalists</w:t>
      </w:r>
    </w:p>
    <w:p w14:paraId="19EBB826" w14:textId="77777777" w:rsidR="001706DC" w:rsidRPr="001706DC" w:rsidRDefault="001706DC" w:rsidP="001706DC">
      <w:pPr>
        <w:pStyle w:val="MMKurzprofil"/>
        <w:rPr>
          <w:lang w:val="en-US"/>
        </w:rPr>
      </w:pPr>
      <w:r w:rsidRPr="001706DC">
        <w:rPr>
          <w:lang w:val="en-US"/>
        </w:rPr>
        <w:t>Sven Schmidt</w:t>
      </w:r>
    </w:p>
    <w:p w14:paraId="03045004" w14:textId="77777777" w:rsidR="001706DC" w:rsidRPr="001706DC" w:rsidRDefault="001706DC" w:rsidP="001706DC">
      <w:pPr>
        <w:pStyle w:val="MMKurzprofil"/>
        <w:rPr>
          <w:lang w:val="en-US"/>
        </w:rPr>
      </w:pPr>
      <w:r w:rsidRPr="001706DC">
        <w:rPr>
          <w:lang w:val="en-US"/>
        </w:rPr>
        <w:t>Corporate Public &amp; Media Relations</w:t>
      </w:r>
    </w:p>
    <w:p w14:paraId="577E647F" w14:textId="77777777" w:rsidR="001706DC" w:rsidRPr="001706DC" w:rsidRDefault="001706DC" w:rsidP="001706DC">
      <w:pPr>
        <w:pStyle w:val="MMKurzprofil"/>
        <w:rPr>
          <w:lang w:val="en-US"/>
        </w:rPr>
      </w:pPr>
      <w:r w:rsidRPr="001706DC">
        <w:rPr>
          <w:lang w:val="en-US"/>
        </w:rPr>
        <w:t>LEONI AG</w:t>
      </w:r>
    </w:p>
    <w:p w14:paraId="26E23B13" w14:textId="77777777" w:rsidR="001706DC" w:rsidRPr="006D36F9" w:rsidRDefault="001706DC" w:rsidP="001706DC">
      <w:pPr>
        <w:pStyle w:val="MMKurzprofil"/>
      </w:pPr>
      <w:r w:rsidRPr="006D36F9">
        <w:t>Telefon</w:t>
      </w:r>
      <w:r>
        <w:tab/>
      </w:r>
      <w:r w:rsidRPr="006D36F9">
        <w:t>+49 (0)911-2023-467</w:t>
      </w:r>
    </w:p>
    <w:p w14:paraId="500117B3" w14:textId="77777777" w:rsidR="001706DC" w:rsidRPr="006D36F9" w:rsidRDefault="001706DC" w:rsidP="001706DC">
      <w:pPr>
        <w:pStyle w:val="MMKurzprofil"/>
      </w:pPr>
      <w:r w:rsidRPr="006D36F9">
        <w:t>Telefax</w:t>
      </w:r>
      <w:r w:rsidRPr="006D36F9">
        <w:tab/>
        <w:t>+49 (0)911-2023-231</w:t>
      </w:r>
    </w:p>
    <w:p w14:paraId="2687E3B5" w14:textId="7A0092AA" w:rsidR="001706DC" w:rsidRDefault="001706DC" w:rsidP="001706DC">
      <w:pPr>
        <w:pStyle w:val="MMKurzprofil"/>
        <w:rPr>
          <w:rStyle w:val="Hyperlink"/>
        </w:rPr>
      </w:pPr>
      <w:r>
        <w:t>E-Mail</w:t>
      </w:r>
      <w:r>
        <w:tab/>
      </w:r>
      <w:hyperlink r:id="rId15" w:history="1">
        <w:r w:rsidRPr="009375B4">
          <w:rPr>
            <w:rStyle w:val="Hyperlink"/>
          </w:rPr>
          <w:t>presse@leoni.com</w:t>
        </w:r>
      </w:hyperlink>
    </w:p>
    <w:p w14:paraId="5463915E" w14:textId="77777777" w:rsidR="001706DC" w:rsidRDefault="001706DC" w:rsidP="001706DC">
      <w:pPr>
        <w:pStyle w:val="MMKurzprofil"/>
        <w:rPr>
          <w:rStyle w:val="Hyperlink"/>
        </w:rPr>
      </w:pPr>
    </w:p>
    <w:sectPr w:rsidR="001706DC" w:rsidSect="009B6801">
      <w:headerReference w:type="default" r:id="rId16"/>
      <w:footerReference w:type="default" r:id="rId17"/>
      <w:headerReference w:type="first" r:id="rId18"/>
      <w:footerReference w:type="first" r:id="rId19"/>
      <w:pgSz w:w="11900" w:h="16840" w:code="9"/>
      <w:pgMar w:top="2977" w:right="833" w:bottom="1701" w:left="1418" w:header="0" w:footer="464" w:gutter="0"/>
      <w:cols w:space="708"/>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5E4FBD" w15:done="0"/>
  <w15:commentEx w15:paraId="30CF6153" w15:done="0"/>
  <w15:commentEx w15:paraId="1ED567F9" w15:done="0"/>
  <w15:commentEx w15:paraId="17BF9AB2" w15:done="0"/>
  <w15:commentEx w15:paraId="2C9E4B2C" w15:done="0"/>
  <w15:commentEx w15:paraId="4FB6ACC7" w15:done="0"/>
  <w15:commentEx w15:paraId="0EB39CC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8C98D5" w14:textId="77777777" w:rsidR="00BC62DE" w:rsidRPr="00A44C71" w:rsidRDefault="00BC62DE">
      <w:pPr>
        <w:rPr>
          <w:sz w:val="16"/>
        </w:rPr>
      </w:pPr>
      <w:r>
        <w:separator/>
      </w:r>
    </w:p>
  </w:endnote>
  <w:endnote w:type="continuationSeparator" w:id="0">
    <w:p w14:paraId="6F2D8FD7" w14:textId="77777777" w:rsidR="00BC62DE" w:rsidRPr="00A44C71" w:rsidRDefault="00BC62DE">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 Regular">
    <w:altName w:val="Andale Mono"/>
    <w:panose1 w:val="020B0500000000000000"/>
    <w:charset w:val="00"/>
    <w:family w:val="swiss"/>
    <w:pitch w:val="variable"/>
    <w:sig w:usb0="80000027" w:usb1="00000000" w:usb2="00000000" w:usb3="00000000" w:csb0="00000003" w:csb1="00000000"/>
  </w:font>
  <w:font w:name="Myriad Condensed">
    <w:panose1 w:val="020B0500000000000000"/>
    <w:charset w:val="00"/>
    <w:family w:val="swiss"/>
    <w:pitch w:val="variable"/>
    <w:sig w:usb0="8000002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77C7B" w14:textId="01AB2063" w:rsidR="00BC62DE" w:rsidRPr="009A05EE" w:rsidRDefault="001706DC" w:rsidP="009F6805">
    <w:pPr>
      <w:pStyle w:val="Fuzeile"/>
      <w:tabs>
        <w:tab w:val="clear" w:pos="4536"/>
        <w:tab w:val="left" w:pos="28"/>
        <w:tab w:val="left" w:pos="142"/>
        <w:tab w:val="left" w:pos="2879"/>
        <w:tab w:val="left" w:pos="3788"/>
        <w:tab w:val="left" w:pos="5842"/>
        <w:tab w:val="left" w:pos="7729"/>
      </w:tabs>
      <w:spacing w:before="20"/>
      <w:rPr>
        <w:rFonts w:ascii="Arial" w:hAnsi="Arial" w:cs="Arial"/>
        <w:i/>
        <w:sz w:val="12"/>
        <w:szCs w:val="14"/>
      </w:rPr>
    </w:pPr>
    <w:proofErr w:type="spellStart"/>
    <w:r>
      <w:rPr>
        <w:rFonts w:ascii="Arial" w:hAnsi="Arial" w:cs="Arial"/>
        <w:i/>
        <w:sz w:val="16"/>
        <w:szCs w:val="16"/>
      </w:rPr>
      <w:t>page</w:t>
    </w:r>
    <w:proofErr w:type="spellEnd"/>
    <w:r w:rsidR="00BC62DE" w:rsidRPr="009A05EE">
      <w:rPr>
        <w:rFonts w:ascii="Arial" w:hAnsi="Arial" w:cs="Arial"/>
        <w:i/>
        <w:sz w:val="16"/>
        <w:szCs w:val="16"/>
      </w:rPr>
      <w:t xml:space="preserve"> </w:t>
    </w:r>
    <w:r w:rsidR="00BC62DE" w:rsidRPr="009A05EE">
      <w:rPr>
        <w:rStyle w:val="Seitenzahl"/>
        <w:rFonts w:ascii="Arial" w:hAnsi="Arial" w:cs="Arial"/>
        <w:i/>
        <w:sz w:val="16"/>
        <w:szCs w:val="16"/>
      </w:rPr>
      <w:fldChar w:fldCharType="begin"/>
    </w:r>
    <w:r w:rsidR="00BC62DE" w:rsidRPr="009A05EE">
      <w:rPr>
        <w:rStyle w:val="Seitenzahl"/>
        <w:rFonts w:ascii="Arial" w:hAnsi="Arial" w:cs="Arial"/>
        <w:i/>
        <w:sz w:val="16"/>
        <w:szCs w:val="16"/>
      </w:rPr>
      <w:instrText xml:space="preserve"> PAGE </w:instrText>
    </w:r>
    <w:r w:rsidR="00BC62DE" w:rsidRPr="009A05EE">
      <w:rPr>
        <w:rStyle w:val="Seitenzahl"/>
        <w:rFonts w:ascii="Arial" w:hAnsi="Arial" w:cs="Arial"/>
        <w:i/>
        <w:sz w:val="16"/>
        <w:szCs w:val="16"/>
      </w:rPr>
      <w:fldChar w:fldCharType="separate"/>
    </w:r>
    <w:r w:rsidR="00336F7B">
      <w:rPr>
        <w:rStyle w:val="Seitenzahl"/>
        <w:rFonts w:ascii="Arial" w:hAnsi="Arial" w:cs="Arial"/>
        <w:i/>
        <w:noProof/>
        <w:sz w:val="16"/>
        <w:szCs w:val="16"/>
      </w:rPr>
      <w:t>1</w:t>
    </w:r>
    <w:r w:rsidR="00BC62DE" w:rsidRPr="009A05EE">
      <w:rPr>
        <w:rStyle w:val="Seitenzahl"/>
        <w:rFonts w:ascii="Arial" w:hAnsi="Arial" w:cs="Arial"/>
        <w:i/>
        <w:sz w:val="16"/>
        <w:szCs w:val="16"/>
      </w:rPr>
      <w:fldChar w:fldCharType="end"/>
    </w:r>
    <w:r w:rsidR="00BC62DE" w:rsidRPr="009A05EE">
      <w:rPr>
        <w:rStyle w:val="Seitenzahl"/>
        <w:rFonts w:ascii="Arial" w:hAnsi="Arial" w:cs="Arial"/>
        <w:i/>
        <w:sz w:val="16"/>
        <w:szCs w:val="16"/>
      </w:rPr>
      <w:t xml:space="preserve"> </w:t>
    </w:r>
    <w:proofErr w:type="spellStart"/>
    <w:r w:rsidR="00BC62DE" w:rsidRPr="009A05EE">
      <w:rPr>
        <w:rStyle w:val="Seitenzahl"/>
        <w:rFonts w:ascii="Arial" w:hAnsi="Arial" w:cs="Arial"/>
        <w:i/>
        <w:sz w:val="16"/>
        <w:szCs w:val="16"/>
      </w:rPr>
      <w:t>o</w:t>
    </w:r>
    <w:r>
      <w:rPr>
        <w:rStyle w:val="Seitenzahl"/>
        <w:rFonts w:ascii="Arial" w:hAnsi="Arial" w:cs="Arial"/>
        <w:i/>
        <w:sz w:val="16"/>
        <w:szCs w:val="16"/>
      </w:rPr>
      <w:t>f</w:t>
    </w:r>
    <w:proofErr w:type="spellEnd"/>
    <w:r w:rsidR="00BC62DE" w:rsidRPr="009A05EE">
      <w:rPr>
        <w:rStyle w:val="Seitenzahl"/>
        <w:rFonts w:ascii="Arial" w:hAnsi="Arial" w:cs="Arial"/>
        <w:i/>
        <w:sz w:val="16"/>
        <w:szCs w:val="16"/>
      </w:rPr>
      <w:t xml:space="preserve"> </w:t>
    </w:r>
    <w:r w:rsidR="00BC62DE" w:rsidRPr="009A05EE">
      <w:rPr>
        <w:rStyle w:val="Seitenzahl"/>
        <w:rFonts w:ascii="Arial" w:hAnsi="Arial" w:cs="Arial"/>
        <w:i/>
        <w:sz w:val="16"/>
        <w:szCs w:val="16"/>
      </w:rPr>
      <w:fldChar w:fldCharType="begin"/>
    </w:r>
    <w:r w:rsidR="00BC62DE" w:rsidRPr="009A05EE">
      <w:rPr>
        <w:rStyle w:val="Seitenzahl"/>
        <w:rFonts w:ascii="Arial" w:hAnsi="Arial" w:cs="Arial"/>
        <w:i/>
        <w:sz w:val="16"/>
        <w:szCs w:val="16"/>
      </w:rPr>
      <w:instrText xml:space="preserve"> NUMPAGES </w:instrText>
    </w:r>
    <w:r w:rsidR="00BC62DE" w:rsidRPr="009A05EE">
      <w:rPr>
        <w:rStyle w:val="Seitenzahl"/>
        <w:rFonts w:ascii="Arial" w:hAnsi="Arial" w:cs="Arial"/>
        <w:i/>
        <w:sz w:val="16"/>
        <w:szCs w:val="16"/>
      </w:rPr>
      <w:fldChar w:fldCharType="separate"/>
    </w:r>
    <w:r w:rsidR="00336F7B">
      <w:rPr>
        <w:rStyle w:val="Seitenzahl"/>
        <w:rFonts w:ascii="Arial" w:hAnsi="Arial" w:cs="Arial"/>
        <w:i/>
        <w:noProof/>
        <w:sz w:val="16"/>
        <w:szCs w:val="16"/>
      </w:rPr>
      <w:t>5</w:t>
    </w:r>
    <w:r w:rsidR="00BC62DE" w:rsidRPr="009A05EE">
      <w:rPr>
        <w:rStyle w:val="Seitenzahl"/>
        <w:rFonts w:ascii="Arial" w:hAnsi="Arial" w:cs="Arial"/>
        <w:i/>
        <w:sz w:val="16"/>
        <w:szCs w:val="16"/>
      </w:rPr>
      <w:fldChar w:fldCharType="end"/>
    </w:r>
    <w:r w:rsidR="00BC62DE" w:rsidRPr="009A05EE">
      <w:rPr>
        <w:rFonts w:ascii="Arial" w:hAnsi="Arial" w:cs="Arial"/>
        <w:b/>
        <w:i/>
        <w:color w:val="004089"/>
        <w:sz w:val="12"/>
        <w:szCs w:val="14"/>
      </w:rPr>
      <w:tab/>
    </w:r>
  </w:p>
  <w:p w14:paraId="02AF27DF" w14:textId="77777777" w:rsidR="00BC62DE" w:rsidRPr="009F6805" w:rsidRDefault="00BC62DE" w:rsidP="00132B87">
    <w:pPr>
      <w:pStyle w:val="Fuzeile"/>
      <w:tabs>
        <w:tab w:val="clear" w:pos="4536"/>
        <w:tab w:val="left" w:pos="1418"/>
        <w:tab w:val="left" w:pos="2694"/>
        <w:tab w:val="left" w:pos="3788"/>
        <w:tab w:val="left" w:pos="5842"/>
        <w:tab w:val="left" w:pos="7729"/>
        <w:tab w:val="left" w:pos="7938"/>
      </w:tabs>
      <w:spacing w:before="20"/>
    </w:pPr>
    <w:r w:rsidRPr="00406709">
      <w:tab/>
    </w:r>
    <w:r w:rsidRPr="00406709">
      <w:tab/>
    </w:r>
    <w:r w:rsidRPr="00406709">
      <w:tab/>
    </w:r>
  </w:p>
  <w:p w14:paraId="6677DF95" w14:textId="77777777" w:rsidR="00124429" w:rsidRDefault="0012442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C3CC1" w14:textId="77777777" w:rsidR="00BC62DE" w:rsidRPr="00190924" w:rsidRDefault="00BC62DE" w:rsidP="007E491E">
    <w:pPr>
      <w:pStyle w:val="Fuzeile"/>
      <w:tabs>
        <w:tab w:val="clear" w:pos="4536"/>
        <w:tab w:val="left" w:pos="2879"/>
        <w:tab w:val="left" w:pos="3788"/>
        <w:tab w:val="left" w:pos="5842"/>
        <w:tab w:val="left" w:pos="7729"/>
      </w:tabs>
      <w:spacing w:before="20"/>
    </w:pPr>
  </w:p>
  <w:p w14:paraId="6A537E65" w14:textId="77777777" w:rsidR="00BC62DE" w:rsidRPr="00190924" w:rsidRDefault="00BC62DE" w:rsidP="008F5F48">
    <w:pPr>
      <w:pStyle w:val="Fuzeile"/>
      <w:tabs>
        <w:tab w:val="left" w:pos="3788"/>
        <w:tab w:val="left" w:pos="7729"/>
      </w:tabs>
      <w:spacing w:before="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E5D6F8" w14:textId="77777777" w:rsidR="00BC62DE" w:rsidRPr="00A44C71" w:rsidRDefault="00BC62DE">
      <w:pPr>
        <w:rPr>
          <w:sz w:val="16"/>
        </w:rPr>
      </w:pPr>
      <w:r>
        <w:separator/>
      </w:r>
    </w:p>
  </w:footnote>
  <w:footnote w:type="continuationSeparator" w:id="0">
    <w:p w14:paraId="6CCBE9DB" w14:textId="77777777" w:rsidR="00BC62DE" w:rsidRPr="00A44C71" w:rsidRDefault="00BC62DE">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363D7" w14:textId="77777777" w:rsidR="00BC62DE" w:rsidRPr="00F17738" w:rsidRDefault="00BC62DE" w:rsidP="006F0BE8">
    <w:pPr>
      <w:pStyle w:val="Kopfzeile"/>
      <w:tabs>
        <w:tab w:val="clear" w:pos="9072"/>
        <w:tab w:val="right" w:pos="9639"/>
      </w:tabs>
      <w:rPr>
        <w:rFonts w:ascii="Verdana" w:hAnsi="Verdana"/>
        <w:sz w:val="20"/>
      </w:rPr>
    </w:pPr>
  </w:p>
  <w:p w14:paraId="1EDA30A9" w14:textId="77777777" w:rsidR="00BC62DE" w:rsidRPr="00F17738" w:rsidRDefault="00BC62DE" w:rsidP="006F0BE8">
    <w:pPr>
      <w:pStyle w:val="Kopfzeile"/>
      <w:tabs>
        <w:tab w:val="clear" w:pos="9072"/>
        <w:tab w:val="right" w:pos="9639"/>
      </w:tabs>
      <w:rPr>
        <w:rFonts w:ascii="Verdana" w:hAnsi="Verdana"/>
        <w:sz w:val="20"/>
      </w:rPr>
    </w:pPr>
  </w:p>
  <w:p w14:paraId="3389791F" w14:textId="77777777" w:rsidR="00BC62DE" w:rsidRPr="00F17738" w:rsidRDefault="00BC62DE" w:rsidP="006F0BE8">
    <w:pPr>
      <w:pStyle w:val="Kopfzeile"/>
      <w:tabs>
        <w:tab w:val="clear" w:pos="9072"/>
        <w:tab w:val="right" w:pos="9639"/>
      </w:tabs>
      <w:rPr>
        <w:rFonts w:ascii="Verdana" w:hAnsi="Verdana"/>
        <w:sz w:val="20"/>
      </w:rPr>
    </w:pPr>
    <w:r>
      <w:rPr>
        <w:noProof/>
        <w:szCs w:val="20"/>
      </w:rPr>
      <w:drawing>
        <wp:anchor distT="0" distB="0" distL="114300" distR="114300" simplePos="0" relativeHeight="251659264" behindDoc="0" locked="1" layoutInCell="1" allowOverlap="0" wp14:anchorId="1323F072" wp14:editId="64CC0F97">
          <wp:simplePos x="0" y="0"/>
          <wp:positionH relativeFrom="page">
            <wp:posOffset>5796915</wp:posOffset>
          </wp:positionH>
          <wp:positionV relativeFrom="page">
            <wp:posOffset>540385</wp:posOffset>
          </wp:positionV>
          <wp:extent cx="1229360" cy="294640"/>
          <wp:effectExtent l="0" t="0" r="8890" b="0"/>
          <wp:wrapNone/>
          <wp:docPr id="3" name="Bild 3"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3BF856CE" w14:textId="77777777" w:rsidR="00BC62DE" w:rsidRDefault="00BC62DE" w:rsidP="006F0BE8">
    <w:pPr>
      <w:spacing w:before="60" w:line="360" w:lineRule="auto"/>
      <w:ind w:right="1429"/>
      <w:rPr>
        <w:rFonts w:ascii="Arial" w:hAnsi="Arial" w:cs="Arial"/>
        <w:b/>
        <w:sz w:val="20"/>
        <w:szCs w:val="20"/>
      </w:rPr>
    </w:pPr>
  </w:p>
  <w:p w14:paraId="4126EDAF" w14:textId="3906C796" w:rsidR="00BC62DE" w:rsidRPr="006D36F9" w:rsidRDefault="00BC62DE" w:rsidP="006F0BE8">
    <w:pPr>
      <w:spacing w:line="360" w:lineRule="auto"/>
      <w:ind w:right="1429"/>
      <w:rPr>
        <w:rFonts w:ascii="Arial" w:hAnsi="Arial" w:cs="Arial"/>
        <w:b/>
        <w:sz w:val="20"/>
        <w:szCs w:val="20"/>
      </w:rPr>
    </w:pPr>
    <w:r>
      <w:rPr>
        <w:rFonts w:ascii="Arial" w:hAnsi="Arial" w:cs="Arial"/>
        <w:b/>
        <w:sz w:val="20"/>
        <w:szCs w:val="20"/>
      </w:rPr>
      <w:t>PRESS</w:t>
    </w:r>
    <w:r w:rsidR="001706DC">
      <w:rPr>
        <w:rFonts w:ascii="Arial" w:hAnsi="Arial" w:cs="Arial"/>
        <w:b/>
        <w:sz w:val="20"/>
        <w:szCs w:val="20"/>
      </w:rPr>
      <w:t xml:space="preserve"> RELEASE</w:t>
    </w:r>
  </w:p>
  <w:p w14:paraId="0D792C0B" w14:textId="77777777" w:rsidR="00BC62DE" w:rsidRPr="00F17738" w:rsidRDefault="00BC62DE" w:rsidP="006F0BE8">
    <w:pPr>
      <w:pStyle w:val="Kopfzeile"/>
      <w:tabs>
        <w:tab w:val="clear" w:pos="9072"/>
        <w:tab w:val="right" w:pos="9639"/>
      </w:tabs>
      <w:rPr>
        <w:rFonts w:ascii="Verdana" w:hAnsi="Verdana"/>
        <w:sz w:val="20"/>
      </w:rPr>
    </w:pPr>
  </w:p>
  <w:p w14:paraId="7C9B50D3" w14:textId="77777777" w:rsidR="00BC62DE" w:rsidRPr="00F17738" w:rsidRDefault="00BC62DE" w:rsidP="006F0BE8">
    <w:pPr>
      <w:pStyle w:val="Kopfzeile"/>
      <w:tabs>
        <w:tab w:val="clear" w:pos="9072"/>
        <w:tab w:val="right" w:pos="9639"/>
      </w:tabs>
      <w:rPr>
        <w:rFonts w:ascii="Verdana" w:hAnsi="Verdana"/>
        <w:sz w:val="20"/>
      </w:rPr>
    </w:pPr>
  </w:p>
  <w:p w14:paraId="6D789CA5" w14:textId="77777777" w:rsidR="00BC62DE" w:rsidRPr="00F17738" w:rsidRDefault="00BC62DE" w:rsidP="006F0BE8">
    <w:pPr>
      <w:pStyle w:val="Kopfzeile"/>
      <w:tabs>
        <w:tab w:val="clear" w:pos="9072"/>
        <w:tab w:val="right" w:pos="9639"/>
      </w:tabs>
      <w:rPr>
        <w:rFonts w:ascii="Verdana" w:hAnsi="Verdana"/>
        <w:sz w:val="20"/>
      </w:rPr>
    </w:pPr>
  </w:p>
  <w:p w14:paraId="471E58A8" w14:textId="77777777" w:rsidR="00BC62DE" w:rsidRPr="006F0BE8" w:rsidRDefault="00BC62DE" w:rsidP="006F0BE8">
    <w:pPr>
      <w:pStyle w:val="Kopfzeile"/>
    </w:pPr>
  </w:p>
  <w:p w14:paraId="545EBB06" w14:textId="77777777" w:rsidR="00124429" w:rsidRDefault="0012442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0683F" w14:textId="77777777" w:rsidR="00BC62DE" w:rsidRPr="00F17738" w:rsidRDefault="00BC62DE" w:rsidP="008F5F48">
    <w:pPr>
      <w:pStyle w:val="Kopfzeile"/>
      <w:ind w:right="12"/>
      <w:rPr>
        <w:rFonts w:ascii="Verdana" w:hAnsi="Verdana"/>
        <w:sz w:val="20"/>
      </w:rPr>
    </w:pPr>
  </w:p>
  <w:p w14:paraId="25DC23AE" w14:textId="77777777" w:rsidR="00BC62DE" w:rsidRPr="00F17738" w:rsidRDefault="00BC62DE" w:rsidP="008F5F48">
    <w:pPr>
      <w:pStyle w:val="Kopfzeile"/>
      <w:ind w:right="12"/>
      <w:rPr>
        <w:rFonts w:ascii="Verdana" w:hAnsi="Verdana"/>
        <w:sz w:val="20"/>
      </w:rPr>
    </w:pPr>
  </w:p>
  <w:p w14:paraId="095195F8" w14:textId="77777777" w:rsidR="00BC62DE" w:rsidRPr="00F17738" w:rsidRDefault="00BC62DE" w:rsidP="008F5F48">
    <w:pPr>
      <w:pStyle w:val="Kopfzeile"/>
      <w:ind w:right="12"/>
      <w:rPr>
        <w:rFonts w:ascii="Verdana" w:hAnsi="Verdana"/>
        <w:sz w:val="20"/>
      </w:rPr>
    </w:pPr>
  </w:p>
  <w:p w14:paraId="19F2F0B6" w14:textId="77777777" w:rsidR="00BC62DE" w:rsidRPr="00F17738" w:rsidRDefault="00BC62DE" w:rsidP="008F5F48">
    <w:pPr>
      <w:pStyle w:val="Kopfzeile"/>
      <w:ind w:right="12"/>
      <w:rPr>
        <w:rFonts w:ascii="Verdana" w:hAnsi="Verdana"/>
        <w:sz w:val="20"/>
      </w:rPr>
    </w:pPr>
  </w:p>
  <w:p w14:paraId="180930A4" w14:textId="77777777" w:rsidR="00BC62DE" w:rsidRPr="00F17738" w:rsidRDefault="00BC62DE" w:rsidP="008F5F48">
    <w:pPr>
      <w:pStyle w:val="Kopfzeile"/>
      <w:ind w:right="12"/>
      <w:rPr>
        <w:rFonts w:ascii="Verdana" w:hAnsi="Verdana"/>
        <w:sz w:val="20"/>
      </w:rPr>
    </w:pPr>
    <w:r>
      <w:rPr>
        <w:noProof/>
        <w:szCs w:val="20"/>
      </w:rPr>
      <w:drawing>
        <wp:anchor distT="0" distB="0" distL="114300" distR="114300" simplePos="0" relativeHeight="251657216" behindDoc="0" locked="0" layoutInCell="1" allowOverlap="0" wp14:anchorId="037F0D51" wp14:editId="3C2EA0C3">
          <wp:simplePos x="0" y="0"/>
          <wp:positionH relativeFrom="margin">
            <wp:posOffset>5008245</wp:posOffset>
          </wp:positionH>
          <wp:positionV relativeFrom="margin">
            <wp:posOffset>-1421765</wp:posOffset>
          </wp:positionV>
          <wp:extent cx="1229360" cy="294640"/>
          <wp:effectExtent l="0" t="0" r="8890" b="0"/>
          <wp:wrapNone/>
          <wp:docPr id="1" name="Bild 1"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339BB1BC" w14:textId="77777777" w:rsidR="00BC62DE" w:rsidRPr="00F17738" w:rsidRDefault="00BC62DE" w:rsidP="008F5F48">
    <w:pPr>
      <w:pStyle w:val="Kopfzeile"/>
      <w:ind w:right="12"/>
      <w:rPr>
        <w:rFonts w:ascii="Verdana" w:hAnsi="Verdana"/>
        <w:sz w:val="20"/>
      </w:rPr>
    </w:pPr>
  </w:p>
  <w:p w14:paraId="76FE4EF0" w14:textId="77777777" w:rsidR="00BC62DE" w:rsidRPr="00F17738" w:rsidRDefault="00BC62DE" w:rsidP="008F5F48">
    <w:pPr>
      <w:pStyle w:val="Kopfzeile"/>
      <w:ind w:right="12"/>
      <w:rPr>
        <w:rFonts w:ascii="Verdana" w:hAnsi="Verdana"/>
        <w:sz w:val="20"/>
      </w:rPr>
    </w:pPr>
  </w:p>
  <w:p w14:paraId="15273EA2" w14:textId="77777777" w:rsidR="00BC62DE" w:rsidRPr="00F17738" w:rsidRDefault="00BC62DE" w:rsidP="008F5F48">
    <w:pPr>
      <w:pStyle w:val="Kopfzeile"/>
      <w:ind w:right="12"/>
      <w:rPr>
        <w:rFonts w:ascii="Verdana" w:hAnsi="Verdana"/>
        <w:sz w:val="20"/>
      </w:rPr>
    </w:pPr>
  </w:p>
  <w:p w14:paraId="1D9A80A1" w14:textId="77777777" w:rsidR="00BC62DE" w:rsidRPr="00F17738" w:rsidRDefault="00BC62DE" w:rsidP="008F5F48">
    <w:pPr>
      <w:pStyle w:val="Kopfzeile"/>
      <w:ind w:right="12"/>
      <w:rPr>
        <w:rFonts w:ascii="Verdana" w:hAnsi="Verdana"/>
        <w:sz w:val="20"/>
      </w:rPr>
    </w:pPr>
  </w:p>
  <w:p w14:paraId="4B4567AB" w14:textId="77777777" w:rsidR="00BC62DE" w:rsidRPr="00F17738" w:rsidRDefault="00BC62DE" w:rsidP="008F5F48">
    <w:pPr>
      <w:pStyle w:val="Kopfzeile"/>
      <w:ind w:right="12"/>
      <w:rPr>
        <w:rFonts w:ascii="Verdana" w:hAnsi="Verdana"/>
        <w:sz w:val="20"/>
      </w:rPr>
    </w:pPr>
  </w:p>
  <w:p w14:paraId="40A6FA64" w14:textId="77777777" w:rsidR="00BC62DE" w:rsidRPr="00F17738" w:rsidRDefault="00BC62DE" w:rsidP="008F5F48">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345B3473"/>
    <w:multiLevelType w:val="hybridMultilevel"/>
    <w:tmpl w:val="83B89CE4"/>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r. Judith Mayer">
    <w15:presenceInfo w15:providerId="AD" w15:userId="S-1-5-21-1177238915-1770027372-725345543-164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59"/>
    <w:rsid w:val="000079E4"/>
    <w:rsid w:val="00013A64"/>
    <w:rsid w:val="00014943"/>
    <w:rsid w:val="00017654"/>
    <w:rsid w:val="0002074B"/>
    <w:rsid w:val="00022E23"/>
    <w:rsid w:val="0002408F"/>
    <w:rsid w:val="000453F9"/>
    <w:rsid w:val="00057659"/>
    <w:rsid w:val="000651EC"/>
    <w:rsid w:val="00072F80"/>
    <w:rsid w:val="00087C38"/>
    <w:rsid w:val="000A0822"/>
    <w:rsid w:val="000A14BC"/>
    <w:rsid w:val="000A32BC"/>
    <w:rsid w:val="000A7B89"/>
    <w:rsid w:val="000B3BF8"/>
    <w:rsid w:val="000B5865"/>
    <w:rsid w:val="000C02B1"/>
    <w:rsid w:val="000C33D0"/>
    <w:rsid w:val="000C3DD5"/>
    <w:rsid w:val="000D3FBB"/>
    <w:rsid w:val="000E0BCB"/>
    <w:rsid w:val="000E6946"/>
    <w:rsid w:val="000F2DC6"/>
    <w:rsid w:val="00102158"/>
    <w:rsid w:val="00110484"/>
    <w:rsid w:val="00110527"/>
    <w:rsid w:val="00112EFB"/>
    <w:rsid w:val="00115FC6"/>
    <w:rsid w:val="00123771"/>
    <w:rsid w:val="00123B76"/>
    <w:rsid w:val="00124429"/>
    <w:rsid w:val="00130F82"/>
    <w:rsid w:val="00132B87"/>
    <w:rsid w:val="00134E77"/>
    <w:rsid w:val="001454B6"/>
    <w:rsid w:val="00152D54"/>
    <w:rsid w:val="00157668"/>
    <w:rsid w:val="00157C54"/>
    <w:rsid w:val="001617CD"/>
    <w:rsid w:val="001706DC"/>
    <w:rsid w:val="00172DBF"/>
    <w:rsid w:val="001734DC"/>
    <w:rsid w:val="00184530"/>
    <w:rsid w:val="0018564D"/>
    <w:rsid w:val="00190924"/>
    <w:rsid w:val="00195338"/>
    <w:rsid w:val="001A26F1"/>
    <w:rsid w:val="001B621B"/>
    <w:rsid w:val="001C0CC3"/>
    <w:rsid w:val="001C7543"/>
    <w:rsid w:val="001D1868"/>
    <w:rsid w:val="001D235D"/>
    <w:rsid w:val="001D2CDB"/>
    <w:rsid w:val="00204990"/>
    <w:rsid w:val="00207FC6"/>
    <w:rsid w:val="00211D05"/>
    <w:rsid w:val="00214804"/>
    <w:rsid w:val="00235F52"/>
    <w:rsid w:val="00240866"/>
    <w:rsid w:val="0024264E"/>
    <w:rsid w:val="00245C9E"/>
    <w:rsid w:val="00251591"/>
    <w:rsid w:val="00260A78"/>
    <w:rsid w:val="002630D8"/>
    <w:rsid w:val="00264325"/>
    <w:rsid w:val="0027050A"/>
    <w:rsid w:val="00271877"/>
    <w:rsid w:val="00283A4E"/>
    <w:rsid w:val="002929B6"/>
    <w:rsid w:val="002956A9"/>
    <w:rsid w:val="0029603C"/>
    <w:rsid w:val="002B325C"/>
    <w:rsid w:val="002B59D6"/>
    <w:rsid w:val="002B7AC7"/>
    <w:rsid w:val="002B7BFA"/>
    <w:rsid w:val="002C118D"/>
    <w:rsid w:val="00304A7E"/>
    <w:rsid w:val="003118F1"/>
    <w:rsid w:val="00314F40"/>
    <w:rsid w:val="00320044"/>
    <w:rsid w:val="0032479E"/>
    <w:rsid w:val="00325F19"/>
    <w:rsid w:val="00336F7B"/>
    <w:rsid w:val="00352E66"/>
    <w:rsid w:val="00361728"/>
    <w:rsid w:val="00361CF2"/>
    <w:rsid w:val="00362050"/>
    <w:rsid w:val="00364DCD"/>
    <w:rsid w:val="00382198"/>
    <w:rsid w:val="00397AC4"/>
    <w:rsid w:val="003C6AAE"/>
    <w:rsid w:val="003D2799"/>
    <w:rsid w:val="003D3AA0"/>
    <w:rsid w:val="003E43B4"/>
    <w:rsid w:val="003E4B96"/>
    <w:rsid w:val="003F5FDE"/>
    <w:rsid w:val="003F74D0"/>
    <w:rsid w:val="00404468"/>
    <w:rsid w:val="0040720B"/>
    <w:rsid w:val="00432245"/>
    <w:rsid w:val="00441012"/>
    <w:rsid w:val="00441963"/>
    <w:rsid w:val="0045071B"/>
    <w:rsid w:val="004547BF"/>
    <w:rsid w:val="004579E1"/>
    <w:rsid w:val="00466073"/>
    <w:rsid w:val="0047104C"/>
    <w:rsid w:val="00473340"/>
    <w:rsid w:val="00473E7D"/>
    <w:rsid w:val="00480076"/>
    <w:rsid w:val="004826F0"/>
    <w:rsid w:val="004A1653"/>
    <w:rsid w:val="004A457B"/>
    <w:rsid w:val="004B0623"/>
    <w:rsid w:val="004B3DB8"/>
    <w:rsid w:val="004B4CC2"/>
    <w:rsid w:val="004B78AC"/>
    <w:rsid w:val="004D2FCB"/>
    <w:rsid w:val="004E29FC"/>
    <w:rsid w:val="004E5849"/>
    <w:rsid w:val="004F038C"/>
    <w:rsid w:val="004F2266"/>
    <w:rsid w:val="004F7079"/>
    <w:rsid w:val="00500004"/>
    <w:rsid w:val="00500B29"/>
    <w:rsid w:val="005072AE"/>
    <w:rsid w:val="00513932"/>
    <w:rsid w:val="00526F46"/>
    <w:rsid w:val="00532C20"/>
    <w:rsid w:val="00533F65"/>
    <w:rsid w:val="005418D3"/>
    <w:rsid w:val="00543C34"/>
    <w:rsid w:val="005448AB"/>
    <w:rsid w:val="00547D6D"/>
    <w:rsid w:val="00566E86"/>
    <w:rsid w:val="0057107B"/>
    <w:rsid w:val="005811BB"/>
    <w:rsid w:val="00586387"/>
    <w:rsid w:val="005B4DC3"/>
    <w:rsid w:val="005C5351"/>
    <w:rsid w:val="005D4C87"/>
    <w:rsid w:val="005D550E"/>
    <w:rsid w:val="005E0BBB"/>
    <w:rsid w:val="005E2FE7"/>
    <w:rsid w:val="005F46FD"/>
    <w:rsid w:val="005F490F"/>
    <w:rsid w:val="005F561A"/>
    <w:rsid w:val="00600E53"/>
    <w:rsid w:val="00611654"/>
    <w:rsid w:val="00614A49"/>
    <w:rsid w:val="0061798D"/>
    <w:rsid w:val="0062285E"/>
    <w:rsid w:val="00624CA9"/>
    <w:rsid w:val="00627DDF"/>
    <w:rsid w:val="00631FB1"/>
    <w:rsid w:val="006332BA"/>
    <w:rsid w:val="00633487"/>
    <w:rsid w:val="006457CF"/>
    <w:rsid w:val="00653018"/>
    <w:rsid w:val="00654989"/>
    <w:rsid w:val="006611CF"/>
    <w:rsid w:val="00665661"/>
    <w:rsid w:val="006678E0"/>
    <w:rsid w:val="00683EF3"/>
    <w:rsid w:val="006A76CA"/>
    <w:rsid w:val="006C5546"/>
    <w:rsid w:val="006C5D8F"/>
    <w:rsid w:val="006C6A78"/>
    <w:rsid w:val="006D36F9"/>
    <w:rsid w:val="006E0029"/>
    <w:rsid w:val="006E5E89"/>
    <w:rsid w:val="006E5F12"/>
    <w:rsid w:val="006F0BE8"/>
    <w:rsid w:val="006F435B"/>
    <w:rsid w:val="006F4393"/>
    <w:rsid w:val="006F78FE"/>
    <w:rsid w:val="007107D8"/>
    <w:rsid w:val="00711906"/>
    <w:rsid w:val="00720539"/>
    <w:rsid w:val="00721853"/>
    <w:rsid w:val="00733298"/>
    <w:rsid w:val="007420F8"/>
    <w:rsid w:val="00746469"/>
    <w:rsid w:val="00765E37"/>
    <w:rsid w:val="00772C01"/>
    <w:rsid w:val="007747B6"/>
    <w:rsid w:val="0078200F"/>
    <w:rsid w:val="00783A5E"/>
    <w:rsid w:val="007864F1"/>
    <w:rsid w:val="00795463"/>
    <w:rsid w:val="007C3759"/>
    <w:rsid w:val="007D7D60"/>
    <w:rsid w:val="007E491E"/>
    <w:rsid w:val="007E7AA7"/>
    <w:rsid w:val="007F3212"/>
    <w:rsid w:val="007F73CF"/>
    <w:rsid w:val="008045E1"/>
    <w:rsid w:val="00821BA4"/>
    <w:rsid w:val="00834D0C"/>
    <w:rsid w:val="0083522C"/>
    <w:rsid w:val="008446CD"/>
    <w:rsid w:val="00852108"/>
    <w:rsid w:val="0086070A"/>
    <w:rsid w:val="00877C02"/>
    <w:rsid w:val="00883645"/>
    <w:rsid w:val="008920B0"/>
    <w:rsid w:val="008A3381"/>
    <w:rsid w:val="008B1883"/>
    <w:rsid w:val="008B4F95"/>
    <w:rsid w:val="008D26BA"/>
    <w:rsid w:val="008D6717"/>
    <w:rsid w:val="008D7DDA"/>
    <w:rsid w:val="008E7760"/>
    <w:rsid w:val="008F5F48"/>
    <w:rsid w:val="008F76B8"/>
    <w:rsid w:val="0090176A"/>
    <w:rsid w:val="00906898"/>
    <w:rsid w:val="00924034"/>
    <w:rsid w:val="00936962"/>
    <w:rsid w:val="00950ED8"/>
    <w:rsid w:val="009613DC"/>
    <w:rsid w:val="00961415"/>
    <w:rsid w:val="00967E91"/>
    <w:rsid w:val="009714B0"/>
    <w:rsid w:val="00977A5F"/>
    <w:rsid w:val="00977A87"/>
    <w:rsid w:val="009A05EE"/>
    <w:rsid w:val="009A1070"/>
    <w:rsid w:val="009A464A"/>
    <w:rsid w:val="009A49DB"/>
    <w:rsid w:val="009B48FF"/>
    <w:rsid w:val="009B564D"/>
    <w:rsid w:val="009B6801"/>
    <w:rsid w:val="009C6B13"/>
    <w:rsid w:val="009D7F99"/>
    <w:rsid w:val="009F30DA"/>
    <w:rsid w:val="009F6805"/>
    <w:rsid w:val="009F752B"/>
    <w:rsid w:val="009F7686"/>
    <w:rsid w:val="00A03787"/>
    <w:rsid w:val="00A12538"/>
    <w:rsid w:val="00A145F4"/>
    <w:rsid w:val="00A20DB3"/>
    <w:rsid w:val="00A23623"/>
    <w:rsid w:val="00A23768"/>
    <w:rsid w:val="00A27173"/>
    <w:rsid w:val="00A34AA7"/>
    <w:rsid w:val="00A424B7"/>
    <w:rsid w:val="00A51056"/>
    <w:rsid w:val="00A5162F"/>
    <w:rsid w:val="00A52F7C"/>
    <w:rsid w:val="00A54DDA"/>
    <w:rsid w:val="00A57FA1"/>
    <w:rsid w:val="00A66992"/>
    <w:rsid w:val="00A708D7"/>
    <w:rsid w:val="00A751B9"/>
    <w:rsid w:val="00A76415"/>
    <w:rsid w:val="00AA09F4"/>
    <w:rsid w:val="00AA2A8D"/>
    <w:rsid w:val="00AA4649"/>
    <w:rsid w:val="00AC2AE0"/>
    <w:rsid w:val="00AC7A23"/>
    <w:rsid w:val="00AD3E26"/>
    <w:rsid w:val="00AE0F06"/>
    <w:rsid w:val="00AE43B7"/>
    <w:rsid w:val="00AF0A61"/>
    <w:rsid w:val="00AF0CA5"/>
    <w:rsid w:val="00AF3E2D"/>
    <w:rsid w:val="00B1340F"/>
    <w:rsid w:val="00B139E4"/>
    <w:rsid w:val="00B3540F"/>
    <w:rsid w:val="00B45E40"/>
    <w:rsid w:val="00B466F2"/>
    <w:rsid w:val="00B67561"/>
    <w:rsid w:val="00B70B1A"/>
    <w:rsid w:val="00B71C6F"/>
    <w:rsid w:val="00B96DE2"/>
    <w:rsid w:val="00BA0052"/>
    <w:rsid w:val="00BB1A73"/>
    <w:rsid w:val="00BB69B8"/>
    <w:rsid w:val="00BC0EBE"/>
    <w:rsid w:val="00BC4F23"/>
    <w:rsid w:val="00BC5FE7"/>
    <w:rsid w:val="00BC62DE"/>
    <w:rsid w:val="00BD22AC"/>
    <w:rsid w:val="00BD2643"/>
    <w:rsid w:val="00BD4058"/>
    <w:rsid w:val="00BF5681"/>
    <w:rsid w:val="00BF7DEC"/>
    <w:rsid w:val="00C007DE"/>
    <w:rsid w:val="00C03D20"/>
    <w:rsid w:val="00C053BC"/>
    <w:rsid w:val="00C07382"/>
    <w:rsid w:val="00C108BC"/>
    <w:rsid w:val="00C11645"/>
    <w:rsid w:val="00C12774"/>
    <w:rsid w:val="00C1516A"/>
    <w:rsid w:val="00C178EC"/>
    <w:rsid w:val="00C31E96"/>
    <w:rsid w:val="00C435D0"/>
    <w:rsid w:val="00C4636C"/>
    <w:rsid w:val="00C56EEB"/>
    <w:rsid w:val="00C60B33"/>
    <w:rsid w:val="00C663CB"/>
    <w:rsid w:val="00C6770A"/>
    <w:rsid w:val="00C70F49"/>
    <w:rsid w:val="00C7427E"/>
    <w:rsid w:val="00C83F49"/>
    <w:rsid w:val="00C900A9"/>
    <w:rsid w:val="00C96EBA"/>
    <w:rsid w:val="00CA481B"/>
    <w:rsid w:val="00CA4B57"/>
    <w:rsid w:val="00CB644E"/>
    <w:rsid w:val="00CC32B4"/>
    <w:rsid w:val="00CD332B"/>
    <w:rsid w:val="00D04407"/>
    <w:rsid w:val="00D1225B"/>
    <w:rsid w:val="00D15735"/>
    <w:rsid w:val="00D22ED7"/>
    <w:rsid w:val="00D413F1"/>
    <w:rsid w:val="00D42BFB"/>
    <w:rsid w:val="00D431E4"/>
    <w:rsid w:val="00D47FA5"/>
    <w:rsid w:val="00D60030"/>
    <w:rsid w:val="00D65513"/>
    <w:rsid w:val="00D700B9"/>
    <w:rsid w:val="00D72FCB"/>
    <w:rsid w:val="00D738A7"/>
    <w:rsid w:val="00D74838"/>
    <w:rsid w:val="00D80DBE"/>
    <w:rsid w:val="00D90D76"/>
    <w:rsid w:val="00DA49A1"/>
    <w:rsid w:val="00DB1EEC"/>
    <w:rsid w:val="00DB2E93"/>
    <w:rsid w:val="00DD5149"/>
    <w:rsid w:val="00DD67C1"/>
    <w:rsid w:val="00DF6351"/>
    <w:rsid w:val="00E01673"/>
    <w:rsid w:val="00E01A4E"/>
    <w:rsid w:val="00E02B7A"/>
    <w:rsid w:val="00E2445B"/>
    <w:rsid w:val="00E33130"/>
    <w:rsid w:val="00E358C1"/>
    <w:rsid w:val="00E45475"/>
    <w:rsid w:val="00E460C8"/>
    <w:rsid w:val="00E569A0"/>
    <w:rsid w:val="00E56CF0"/>
    <w:rsid w:val="00E76BA0"/>
    <w:rsid w:val="00E82B97"/>
    <w:rsid w:val="00E93051"/>
    <w:rsid w:val="00E93D8A"/>
    <w:rsid w:val="00E96673"/>
    <w:rsid w:val="00EA772C"/>
    <w:rsid w:val="00EC043E"/>
    <w:rsid w:val="00EC0A0C"/>
    <w:rsid w:val="00EC0E74"/>
    <w:rsid w:val="00EC6520"/>
    <w:rsid w:val="00ED1040"/>
    <w:rsid w:val="00ED288B"/>
    <w:rsid w:val="00ED47BD"/>
    <w:rsid w:val="00EE209D"/>
    <w:rsid w:val="00EE3329"/>
    <w:rsid w:val="00EE4972"/>
    <w:rsid w:val="00EF591E"/>
    <w:rsid w:val="00F026D8"/>
    <w:rsid w:val="00F129BE"/>
    <w:rsid w:val="00F21EA0"/>
    <w:rsid w:val="00F247D5"/>
    <w:rsid w:val="00F27323"/>
    <w:rsid w:val="00F37865"/>
    <w:rsid w:val="00F4749E"/>
    <w:rsid w:val="00F53056"/>
    <w:rsid w:val="00F55602"/>
    <w:rsid w:val="00F57432"/>
    <w:rsid w:val="00F67138"/>
    <w:rsid w:val="00F71821"/>
    <w:rsid w:val="00F737A1"/>
    <w:rsid w:val="00F73C92"/>
    <w:rsid w:val="00F77BB5"/>
    <w:rsid w:val="00F80249"/>
    <w:rsid w:val="00F84D48"/>
    <w:rsid w:val="00F90257"/>
    <w:rsid w:val="00F91F06"/>
    <w:rsid w:val="00F91FB0"/>
    <w:rsid w:val="00F92DC3"/>
    <w:rsid w:val="00F94F62"/>
    <w:rsid w:val="00F955C9"/>
    <w:rsid w:val="00FB10D4"/>
    <w:rsid w:val="00FC2BA4"/>
    <w:rsid w:val="00FE0AC5"/>
    <w:rsid w:val="00FE68FC"/>
    <w:rsid w:val="00FF2690"/>
    <w:rsid w:val="00FF303C"/>
    <w:rsid w:val="00FF517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oNotEmbedSmartTags/>
  <w:decimalSymbol w:val=","/>
  <w:listSeparator w:val=";"/>
  <w14:docId w14:val="449DD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8C6B84"/>
    <w:pPr>
      <w:tabs>
        <w:tab w:val="center" w:pos="4536"/>
        <w:tab w:val="right" w:pos="9072"/>
      </w:tabs>
    </w:pPr>
  </w:style>
  <w:style w:type="paragraph" w:styleId="Fuzeile">
    <w:name w:val="footer"/>
    <w:basedOn w:val="Standard"/>
    <w:link w:val="FuzeileZchn"/>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de-DE"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de-DE"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de-DE"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de-DE"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de-DE" w:eastAsia="de-DE" w:bidi="ar-SA"/>
    </w:rPr>
  </w:style>
  <w:style w:type="character" w:styleId="BesuchterHyperlink">
    <w:name w:val="FollowedHyperlink"/>
    <w:rsid w:val="00361CF2"/>
    <w:rPr>
      <w:color w:val="800080"/>
      <w:u w:val="single"/>
    </w:rPr>
  </w:style>
  <w:style w:type="paragraph" w:customStyle="1" w:styleId="MMU1">
    <w:name w:val="MM U1"/>
    <w:basedOn w:val="berschrift1"/>
    <w:link w:val="MMU1Zchn"/>
    <w:autoRedefine/>
    <w:uiPriority w:val="99"/>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uiPriority w:val="99"/>
    <w:qFormat/>
    <w:rsid w:val="006F0BE8"/>
    <w:pPr>
      <w:ind w:right="1922"/>
      <w:jc w:val="both"/>
    </w:pPr>
    <w:rPr>
      <w:rFonts w:ascii="Arial" w:hAnsi="Arial" w:cs="Arial"/>
      <w:sz w:val="22"/>
      <w:szCs w:val="22"/>
    </w:rPr>
  </w:style>
  <w:style w:type="paragraph" w:customStyle="1" w:styleId="MMU2">
    <w:name w:val="MM U2"/>
    <w:basedOn w:val="berschrift1"/>
    <w:next w:val="MMVorspann"/>
    <w:link w:val="MMU2Zchn"/>
    <w:autoRedefine/>
    <w:uiPriority w:val="99"/>
    <w:qFormat/>
    <w:rsid w:val="006F0BE8"/>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uiPriority w:val="99"/>
    <w:qFormat/>
    <w:rsid w:val="00877C02"/>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1706DC"/>
    <w:pPr>
      <w:tabs>
        <w:tab w:val="left" w:pos="1134"/>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6D36F9"/>
    <w:pPr>
      <w:spacing w:before="480" w:line="360" w:lineRule="auto"/>
      <w:ind w:right="1922"/>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uiPriority w:val="99"/>
    <w:qFormat/>
    <w:rsid w:val="00AF0CA5"/>
    <w:pPr>
      <w:tabs>
        <w:tab w:val="left" w:pos="8505"/>
      </w:tabs>
      <w:spacing w:line="360" w:lineRule="auto"/>
      <w:ind w:right="1922"/>
      <w:jc w:val="both"/>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de-DE" w:eastAsia="de-DE" w:bidi="ar-SA"/>
    </w:rPr>
  </w:style>
  <w:style w:type="character" w:customStyle="1" w:styleId="MMU1Zchn">
    <w:name w:val="MM U1 Zchn"/>
    <w:basedOn w:val="berschrift1Zchn"/>
    <w:link w:val="MMU1"/>
    <w:rsid w:val="00D47FA5"/>
    <w:rPr>
      <w:rFonts w:ascii="Arial" w:hAnsi="Arial"/>
      <w:b/>
      <w:bCs/>
      <w:color w:val="112E6B"/>
      <w:sz w:val="24"/>
      <w:szCs w:val="22"/>
      <w:lang w:val="de-DE" w:eastAsia="de-DE" w:bidi="ar-SA"/>
    </w:rPr>
  </w:style>
  <w:style w:type="character" w:customStyle="1" w:styleId="MMU2Zchn">
    <w:name w:val="MM U2 Zchn"/>
    <w:basedOn w:val="berschrift1Zchn"/>
    <w:link w:val="MMU2"/>
    <w:rsid w:val="006F0BE8"/>
    <w:rPr>
      <w:rFonts w:ascii="Arial" w:hAnsi="Arial" w:cs="Arial"/>
      <w:b w:val="0"/>
      <w:color w:val="112E6B"/>
      <w:sz w:val="24"/>
      <w:szCs w:val="24"/>
      <w:lang w:val="de-DE"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6F0BE8"/>
    <w:rPr>
      <w:rFonts w:ascii="Arial" w:hAnsi="Arial" w:cs="Arial"/>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877C02"/>
    <w:rPr>
      <w:rFonts w:ascii="Arial" w:hAnsi="Arial" w:cs="Arial"/>
      <w:sz w:val="22"/>
      <w:szCs w:val="22"/>
    </w:rPr>
  </w:style>
  <w:style w:type="character" w:customStyle="1" w:styleId="MMZwischenberschriftZchn">
    <w:name w:val="MM Zwischenüberschrift Zchn"/>
    <w:basedOn w:val="Absatz-Standardschriftart"/>
    <w:link w:val="MMZwischenberschrift"/>
    <w:rsid w:val="00AF0CA5"/>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D47FA5"/>
    <w:rPr>
      <w:rFonts w:ascii="Arial" w:hAnsi="Arial" w:cs="Arial"/>
      <w:b/>
      <w:color w:val="112E6B"/>
    </w:rPr>
  </w:style>
  <w:style w:type="character" w:customStyle="1" w:styleId="MMKurzprofilZchn">
    <w:name w:val="MM Kurzprofil Zchn"/>
    <w:basedOn w:val="Absatz-Standardschriftart"/>
    <w:link w:val="MMKurzprofil"/>
    <w:rsid w:val="001706DC"/>
    <w:rPr>
      <w:rFonts w:ascii="Arial" w:hAnsi="Arial" w:cs="Arial"/>
      <w:color w:val="000000"/>
    </w:rPr>
  </w:style>
  <w:style w:type="paragraph" w:styleId="Listenabsatz">
    <w:name w:val="List Paragraph"/>
    <w:basedOn w:val="Standard"/>
    <w:uiPriority w:val="99"/>
    <w:qFormat/>
    <w:rsid w:val="006678E0"/>
    <w:pPr>
      <w:ind w:left="720"/>
      <w:contextualSpacing/>
    </w:pPr>
  </w:style>
  <w:style w:type="character" w:customStyle="1" w:styleId="KopfzeileZchn">
    <w:name w:val="Kopfzeile Zchn"/>
    <w:basedOn w:val="Absatz-Standardschriftart"/>
    <w:link w:val="Kopfzeile"/>
    <w:rsid w:val="001706DC"/>
    <w:rPr>
      <w:sz w:val="24"/>
      <w:szCs w:val="24"/>
    </w:rPr>
  </w:style>
  <w:style w:type="character" w:customStyle="1" w:styleId="FuzeileZchn">
    <w:name w:val="Fußzeile Zchn"/>
    <w:basedOn w:val="Absatz-Standardschriftart"/>
    <w:link w:val="Fuzeile"/>
    <w:semiHidden/>
    <w:rsid w:val="001706D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8C6B84"/>
    <w:pPr>
      <w:tabs>
        <w:tab w:val="center" w:pos="4536"/>
        <w:tab w:val="right" w:pos="9072"/>
      </w:tabs>
    </w:pPr>
  </w:style>
  <w:style w:type="paragraph" w:styleId="Fuzeile">
    <w:name w:val="footer"/>
    <w:basedOn w:val="Standard"/>
    <w:link w:val="FuzeileZchn"/>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de-DE"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de-DE"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de-DE"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de-DE"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de-DE" w:eastAsia="de-DE" w:bidi="ar-SA"/>
    </w:rPr>
  </w:style>
  <w:style w:type="character" w:styleId="BesuchterHyperlink">
    <w:name w:val="FollowedHyperlink"/>
    <w:rsid w:val="00361CF2"/>
    <w:rPr>
      <w:color w:val="800080"/>
      <w:u w:val="single"/>
    </w:rPr>
  </w:style>
  <w:style w:type="paragraph" w:customStyle="1" w:styleId="MMU1">
    <w:name w:val="MM U1"/>
    <w:basedOn w:val="berschrift1"/>
    <w:link w:val="MMU1Zchn"/>
    <w:autoRedefine/>
    <w:uiPriority w:val="99"/>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uiPriority w:val="99"/>
    <w:qFormat/>
    <w:rsid w:val="006F0BE8"/>
    <w:pPr>
      <w:ind w:right="1922"/>
      <w:jc w:val="both"/>
    </w:pPr>
    <w:rPr>
      <w:rFonts w:ascii="Arial" w:hAnsi="Arial" w:cs="Arial"/>
      <w:sz w:val="22"/>
      <w:szCs w:val="22"/>
    </w:rPr>
  </w:style>
  <w:style w:type="paragraph" w:customStyle="1" w:styleId="MMU2">
    <w:name w:val="MM U2"/>
    <w:basedOn w:val="berschrift1"/>
    <w:next w:val="MMVorspann"/>
    <w:link w:val="MMU2Zchn"/>
    <w:autoRedefine/>
    <w:uiPriority w:val="99"/>
    <w:qFormat/>
    <w:rsid w:val="006F0BE8"/>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uiPriority w:val="99"/>
    <w:qFormat/>
    <w:rsid w:val="00877C02"/>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1706DC"/>
    <w:pPr>
      <w:tabs>
        <w:tab w:val="left" w:pos="1134"/>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6D36F9"/>
    <w:pPr>
      <w:spacing w:before="480" w:line="360" w:lineRule="auto"/>
      <w:ind w:right="1922"/>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uiPriority w:val="99"/>
    <w:qFormat/>
    <w:rsid w:val="00AF0CA5"/>
    <w:pPr>
      <w:tabs>
        <w:tab w:val="left" w:pos="8505"/>
      </w:tabs>
      <w:spacing w:line="360" w:lineRule="auto"/>
      <w:ind w:right="1922"/>
      <w:jc w:val="both"/>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de-DE" w:eastAsia="de-DE" w:bidi="ar-SA"/>
    </w:rPr>
  </w:style>
  <w:style w:type="character" w:customStyle="1" w:styleId="MMU1Zchn">
    <w:name w:val="MM U1 Zchn"/>
    <w:basedOn w:val="berschrift1Zchn"/>
    <w:link w:val="MMU1"/>
    <w:rsid w:val="00D47FA5"/>
    <w:rPr>
      <w:rFonts w:ascii="Arial" w:hAnsi="Arial"/>
      <w:b/>
      <w:bCs/>
      <w:color w:val="112E6B"/>
      <w:sz w:val="24"/>
      <w:szCs w:val="22"/>
      <w:lang w:val="de-DE" w:eastAsia="de-DE" w:bidi="ar-SA"/>
    </w:rPr>
  </w:style>
  <w:style w:type="character" w:customStyle="1" w:styleId="MMU2Zchn">
    <w:name w:val="MM U2 Zchn"/>
    <w:basedOn w:val="berschrift1Zchn"/>
    <w:link w:val="MMU2"/>
    <w:rsid w:val="006F0BE8"/>
    <w:rPr>
      <w:rFonts w:ascii="Arial" w:hAnsi="Arial" w:cs="Arial"/>
      <w:b w:val="0"/>
      <w:color w:val="112E6B"/>
      <w:sz w:val="24"/>
      <w:szCs w:val="24"/>
      <w:lang w:val="de-DE"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6F0BE8"/>
    <w:rPr>
      <w:rFonts w:ascii="Arial" w:hAnsi="Arial" w:cs="Arial"/>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877C02"/>
    <w:rPr>
      <w:rFonts w:ascii="Arial" w:hAnsi="Arial" w:cs="Arial"/>
      <w:sz w:val="22"/>
      <w:szCs w:val="22"/>
    </w:rPr>
  </w:style>
  <w:style w:type="character" w:customStyle="1" w:styleId="MMZwischenberschriftZchn">
    <w:name w:val="MM Zwischenüberschrift Zchn"/>
    <w:basedOn w:val="Absatz-Standardschriftart"/>
    <w:link w:val="MMZwischenberschrift"/>
    <w:rsid w:val="00AF0CA5"/>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D47FA5"/>
    <w:rPr>
      <w:rFonts w:ascii="Arial" w:hAnsi="Arial" w:cs="Arial"/>
      <w:b/>
      <w:color w:val="112E6B"/>
    </w:rPr>
  </w:style>
  <w:style w:type="character" w:customStyle="1" w:styleId="MMKurzprofilZchn">
    <w:name w:val="MM Kurzprofil Zchn"/>
    <w:basedOn w:val="Absatz-Standardschriftart"/>
    <w:link w:val="MMKurzprofil"/>
    <w:rsid w:val="001706DC"/>
    <w:rPr>
      <w:rFonts w:ascii="Arial" w:hAnsi="Arial" w:cs="Arial"/>
      <w:color w:val="000000"/>
    </w:rPr>
  </w:style>
  <w:style w:type="paragraph" w:styleId="Listenabsatz">
    <w:name w:val="List Paragraph"/>
    <w:basedOn w:val="Standard"/>
    <w:uiPriority w:val="99"/>
    <w:qFormat/>
    <w:rsid w:val="006678E0"/>
    <w:pPr>
      <w:ind w:left="720"/>
      <w:contextualSpacing/>
    </w:pPr>
  </w:style>
  <w:style w:type="character" w:customStyle="1" w:styleId="KopfzeileZchn">
    <w:name w:val="Kopfzeile Zchn"/>
    <w:basedOn w:val="Absatz-Standardschriftart"/>
    <w:link w:val="Kopfzeile"/>
    <w:rsid w:val="001706DC"/>
    <w:rPr>
      <w:sz w:val="24"/>
      <w:szCs w:val="24"/>
    </w:rPr>
  </w:style>
  <w:style w:type="character" w:customStyle="1" w:styleId="FuzeileZchn">
    <w:name w:val="Fußzeile Zchn"/>
    <w:basedOn w:val="Absatz-Standardschriftart"/>
    <w:link w:val="Fuzeile"/>
    <w:semiHidden/>
    <w:rsid w:val="001706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047811">
      <w:bodyDiv w:val="1"/>
      <w:marLeft w:val="0"/>
      <w:marRight w:val="0"/>
      <w:marTop w:val="0"/>
      <w:marBottom w:val="0"/>
      <w:divBdr>
        <w:top w:val="none" w:sz="0" w:space="0" w:color="auto"/>
        <w:left w:val="none" w:sz="0" w:space="0" w:color="auto"/>
        <w:bottom w:val="none" w:sz="0" w:space="0" w:color="auto"/>
        <w:right w:val="none" w:sz="0" w:space="0" w:color="auto"/>
      </w:divBdr>
      <w:divsChild>
        <w:div w:id="1444493416">
          <w:marLeft w:val="288"/>
          <w:marRight w:val="0"/>
          <w:marTop w:val="216"/>
          <w:marBottom w:val="0"/>
          <w:divBdr>
            <w:top w:val="none" w:sz="0" w:space="0" w:color="auto"/>
            <w:left w:val="none" w:sz="0" w:space="0" w:color="auto"/>
            <w:bottom w:val="none" w:sz="0" w:space="0" w:color="auto"/>
            <w:right w:val="none" w:sz="0" w:space="0" w:color="auto"/>
          </w:divBdr>
        </w:div>
      </w:divsChild>
    </w:div>
    <w:div w:id="344982947">
      <w:bodyDiv w:val="1"/>
      <w:marLeft w:val="0"/>
      <w:marRight w:val="0"/>
      <w:marTop w:val="0"/>
      <w:marBottom w:val="0"/>
      <w:divBdr>
        <w:top w:val="none" w:sz="0" w:space="0" w:color="auto"/>
        <w:left w:val="none" w:sz="0" w:space="0" w:color="auto"/>
        <w:bottom w:val="none" w:sz="0" w:space="0" w:color="auto"/>
        <w:right w:val="none" w:sz="0" w:space="0" w:color="auto"/>
      </w:divBdr>
      <w:divsChild>
        <w:div w:id="26376127">
          <w:marLeft w:val="288"/>
          <w:marRight w:val="0"/>
          <w:marTop w:val="216"/>
          <w:marBottom w:val="0"/>
          <w:divBdr>
            <w:top w:val="none" w:sz="0" w:space="0" w:color="auto"/>
            <w:left w:val="none" w:sz="0" w:space="0" w:color="auto"/>
            <w:bottom w:val="none" w:sz="0" w:space="0" w:color="auto"/>
            <w:right w:val="none" w:sz="0" w:space="0" w:color="auto"/>
          </w:divBdr>
        </w:div>
      </w:divsChild>
    </w:div>
    <w:div w:id="488863536">
      <w:bodyDiv w:val="1"/>
      <w:marLeft w:val="0"/>
      <w:marRight w:val="0"/>
      <w:marTop w:val="0"/>
      <w:marBottom w:val="0"/>
      <w:divBdr>
        <w:top w:val="none" w:sz="0" w:space="0" w:color="auto"/>
        <w:left w:val="none" w:sz="0" w:space="0" w:color="auto"/>
        <w:bottom w:val="none" w:sz="0" w:space="0" w:color="auto"/>
        <w:right w:val="none" w:sz="0" w:space="0" w:color="auto"/>
      </w:divBdr>
      <w:divsChild>
        <w:div w:id="305477303">
          <w:marLeft w:val="0"/>
          <w:marRight w:val="0"/>
          <w:marTop w:val="0"/>
          <w:marBottom w:val="0"/>
          <w:divBdr>
            <w:top w:val="none" w:sz="0" w:space="0" w:color="auto"/>
            <w:left w:val="none" w:sz="0" w:space="0" w:color="auto"/>
            <w:bottom w:val="none" w:sz="0" w:space="0" w:color="auto"/>
            <w:right w:val="none" w:sz="0" w:space="0" w:color="auto"/>
          </w:divBdr>
          <w:divsChild>
            <w:div w:id="603225212">
              <w:marLeft w:val="0"/>
              <w:marRight w:val="0"/>
              <w:marTop w:val="0"/>
              <w:marBottom w:val="0"/>
              <w:divBdr>
                <w:top w:val="none" w:sz="0" w:space="0" w:color="auto"/>
                <w:left w:val="none" w:sz="0" w:space="0" w:color="auto"/>
                <w:bottom w:val="none" w:sz="0" w:space="0" w:color="auto"/>
                <w:right w:val="none" w:sz="0" w:space="0" w:color="auto"/>
              </w:divBdr>
            </w:div>
            <w:div w:id="613942827">
              <w:marLeft w:val="0"/>
              <w:marRight w:val="0"/>
              <w:marTop w:val="0"/>
              <w:marBottom w:val="0"/>
              <w:divBdr>
                <w:top w:val="none" w:sz="0" w:space="0" w:color="auto"/>
                <w:left w:val="none" w:sz="0" w:space="0" w:color="auto"/>
                <w:bottom w:val="none" w:sz="0" w:space="0" w:color="auto"/>
                <w:right w:val="none" w:sz="0" w:space="0" w:color="auto"/>
              </w:divBdr>
            </w:div>
            <w:div w:id="879243368">
              <w:marLeft w:val="0"/>
              <w:marRight w:val="0"/>
              <w:marTop w:val="0"/>
              <w:marBottom w:val="0"/>
              <w:divBdr>
                <w:top w:val="none" w:sz="0" w:space="0" w:color="auto"/>
                <w:left w:val="none" w:sz="0" w:space="0" w:color="auto"/>
                <w:bottom w:val="none" w:sz="0" w:space="0" w:color="auto"/>
                <w:right w:val="none" w:sz="0" w:space="0" w:color="auto"/>
              </w:divBdr>
            </w:div>
            <w:div w:id="1364138416">
              <w:marLeft w:val="0"/>
              <w:marRight w:val="0"/>
              <w:marTop w:val="0"/>
              <w:marBottom w:val="0"/>
              <w:divBdr>
                <w:top w:val="none" w:sz="0" w:space="0" w:color="auto"/>
                <w:left w:val="none" w:sz="0" w:space="0" w:color="auto"/>
                <w:bottom w:val="none" w:sz="0" w:space="0" w:color="auto"/>
                <w:right w:val="none" w:sz="0" w:space="0" w:color="auto"/>
              </w:divBdr>
            </w:div>
            <w:div w:id="1450390161">
              <w:marLeft w:val="0"/>
              <w:marRight w:val="0"/>
              <w:marTop w:val="0"/>
              <w:marBottom w:val="0"/>
              <w:divBdr>
                <w:top w:val="none" w:sz="0" w:space="0" w:color="auto"/>
                <w:left w:val="none" w:sz="0" w:space="0" w:color="auto"/>
                <w:bottom w:val="none" w:sz="0" w:space="0" w:color="auto"/>
                <w:right w:val="none" w:sz="0" w:space="0" w:color="auto"/>
              </w:divBdr>
            </w:div>
            <w:div w:id="2029670843">
              <w:marLeft w:val="0"/>
              <w:marRight w:val="0"/>
              <w:marTop w:val="0"/>
              <w:marBottom w:val="0"/>
              <w:divBdr>
                <w:top w:val="none" w:sz="0" w:space="0" w:color="auto"/>
                <w:left w:val="none" w:sz="0" w:space="0" w:color="auto"/>
                <w:bottom w:val="none" w:sz="0" w:space="0" w:color="auto"/>
                <w:right w:val="none" w:sz="0" w:space="0" w:color="auto"/>
              </w:divBdr>
            </w:div>
            <w:div w:id="21305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3148">
      <w:bodyDiv w:val="1"/>
      <w:marLeft w:val="0"/>
      <w:marRight w:val="0"/>
      <w:marTop w:val="0"/>
      <w:marBottom w:val="0"/>
      <w:divBdr>
        <w:top w:val="none" w:sz="0" w:space="0" w:color="auto"/>
        <w:left w:val="none" w:sz="0" w:space="0" w:color="auto"/>
        <w:bottom w:val="none" w:sz="0" w:space="0" w:color="auto"/>
        <w:right w:val="none" w:sz="0" w:space="0" w:color="auto"/>
      </w:divBdr>
      <w:divsChild>
        <w:div w:id="1717923335">
          <w:marLeft w:val="0"/>
          <w:marRight w:val="0"/>
          <w:marTop w:val="0"/>
          <w:marBottom w:val="0"/>
          <w:divBdr>
            <w:top w:val="none" w:sz="0" w:space="0" w:color="auto"/>
            <w:left w:val="none" w:sz="0" w:space="0" w:color="auto"/>
            <w:bottom w:val="none" w:sz="0" w:space="0" w:color="auto"/>
            <w:right w:val="none" w:sz="0" w:space="0" w:color="auto"/>
          </w:divBdr>
          <w:divsChild>
            <w:div w:id="164323791">
              <w:marLeft w:val="0"/>
              <w:marRight w:val="0"/>
              <w:marTop w:val="0"/>
              <w:marBottom w:val="0"/>
              <w:divBdr>
                <w:top w:val="none" w:sz="0" w:space="0" w:color="auto"/>
                <w:left w:val="none" w:sz="0" w:space="0" w:color="auto"/>
                <w:bottom w:val="none" w:sz="0" w:space="0" w:color="auto"/>
                <w:right w:val="none" w:sz="0" w:space="0" w:color="auto"/>
              </w:divBdr>
            </w:div>
            <w:div w:id="1042899932">
              <w:marLeft w:val="0"/>
              <w:marRight w:val="0"/>
              <w:marTop w:val="0"/>
              <w:marBottom w:val="0"/>
              <w:divBdr>
                <w:top w:val="none" w:sz="0" w:space="0" w:color="auto"/>
                <w:left w:val="none" w:sz="0" w:space="0" w:color="auto"/>
                <w:bottom w:val="none" w:sz="0" w:space="0" w:color="auto"/>
                <w:right w:val="none" w:sz="0" w:space="0" w:color="auto"/>
              </w:divBdr>
            </w:div>
            <w:div w:id="1415323222">
              <w:marLeft w:val="0"/>
              <w:marRight w:val="0"/>
              <w:marTop w:val="0"/>
              <w:marBottom w:val="0"/>
              <w:divBdr>
                <w:top w:val="none" w:sz="0" w:space="0" w:color="auto"/>
                <w:left w:val="none" w:sz="0" w:space="0" w:color="auto"/>
                <w:bottom w:val="none" w:sz="0" w:space="0" w:color="auto"/>
                <w:right w:val="none" w:sz="0" w:space="0" w:color="auto"/>
              </w:divBdr>
            </w:div>
            <w:div w:id="21372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8432">
      <w:bodyDiv w:val="1"/>
      <w:marLeft w:val="0"/>
      <w:marRight w:val="0"/>
      <w:marTop w:val="0"/>
      <w:marBottom w:val="0"/>
      <w:divBdr>
        <w:top w:val="none" w:sz="0" w:space="0" w:color="auto"/>
        <w:left w:val="none" w:sz="0" w:space="0" w:color="auto"/>
        <w:bottom w:val="none" w:sz="0" w:space="0" w:color="auto"/>
        <w:right w:val="none" w:sz="0" w:space="0" w:color="auto"/>
      </w:divBdr>
    </w:div>
    <w:div w:id="1271670769">
      <w:bodyDiv w:val="1"/>
      <w:marLeft w:val="0"/>
      <w:marRight w:val="0"/>
      <w:marTop w:val="0"/>
      <w:marBottom w:val="0"/>
      <w:divBdr>
        <w:top w:val="none" w:sz="0" w:space="0" w:color="auto"/>
        <w:left w:val="none" w:sz="0" w:space="0" w:color="auto"/>
        <w:bottom w:val="none" w:sz="0" w:space="0" w:color="auto"/>
        <w:right w:val="none" w:sz="0" w:space="0" w:color="auto"/>
      </w:divBdr>
    </w:div>
    <w:div w:id="1418869952">
      <w:bodyDiv w:val="1"/>
      <w:marLeft w:val="0"/>
      <w:marRight w:val="0"/>
      <w:marTop w:val="0"/>
      <w:marBottom w:val="0"/>
      <w:divBdr>
        <w:top w:val="none" w:sz="0" w:space="0" w:color="auto"/>
        <w:left w:val="none" w:sz="0" w:space="0" w:color="auto"/>
        <w:bottom w:val="none" w:sz="0" w:space="0" w:color="auto"/>
        <w:right w:val="none" w:sz="0" w:space="0" w:color="auto"/>
      </w:divBdr>
      <w:divsChild>
        <w:div w:id="905189510">
          <w:marLeft w:val="0"/>
          <w:marRight w:val="0"/>
          <w:marTop w:val="0"/>
          <w:marBottom w:val="0"/>
          <w:divBdr>
            <w:top w:val="none" w:sz="0" w:space="0" w:color="auto"/>
            <w:left w:val="none" w:sz="0" w:space="0" w:color="auto"/>
            <w:bottom w:val="none" w:sz="0" w:space="0" w:color="auto"/>
            <w:right w:val="none" w:sz="0" w:space="0" w:color="auto"/>
          </w:divBdr>
          <w:divsChild>
            <w:div w:id="426924069">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604681356">
      <w:bodyDiv w:val="1"/>
      <w:marLeft w:val="0"/>
      <w:marRight w:val="0"/>
      <w:marTop w:val="0"/>
      <w:marBottom w:val="0"/>
      <w:divBdr>
        <w:top w:val="none" w:sz="0" w:space="0" w:color="auto"/>
        <w:left w:val="none" w:sz="0" w:space="0" w:color="auto"/>
        <w:bottom w:val="none" w:sz="0" w:space="0" w:color="auto"/>
        <w:right w:val="none" w:sz="0" w:space="0" w:color="auto"/>
      </w:divBdr>
      <w:divsChild>
        <w:div w:id="257367965">
          <w:marLeft w:val="0"/>
          <w:marRight w:val="0"/>
          <w:marTop w:val="0"/>
          <w:marBottom w:val="0"/>
          <w:divBdr>
            <w:top w:val="none" w:sz="0" w:space="0" w:color="auto"/>
            <w:left w:val="none" w:sz="0" w:space="0" w:color="auto"/>
            <w:bottom w:val="none" w:sz="0" w:space="0" w:color="auto"/>
            <w:right w:val="none" w:sz="0" w:space="0" w:color="auto"/>
          </w:divBdr>
          <w:divsChild>
            <w:div w:id="339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xing.com/companies/leonia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theleonigroup" TargetMode="External"/><Relationship Id="rId5" Type="http://schemas.openxmlformats.org/officeDocument/2006/relationships/settings" Target="settings.xml"/><Relationship Id="rId15" Type="http://schemas.openxmlformats.org/officeDocument/2006/relationships/hyperlink" Target="mailto:presse@leoni.com" TargetMode="External"/><Relationship Id="rId23" Type="http://schemas.microsoft.com/office/2011/relationships/commentsExtended" Target="commentsExtended.xml"/><Relationship Id="rId10" Type="http://schemas.openxmlformats.org/officeDocument/2006/relationships/hyperlink" Target="http://www.leoni.com/en/financial-publications/"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leoni.com/en/press/releases/details/leoni-restructuring-its-wiring-systems-business/" TargetMode="External"/><Relationship Id="rId14" Type="http://schemas.openxmlformats.org/officeDocument/2006/relationships/image" Target="media/image2.png"/><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EF2ED-2FCC-483D-B08C-3C8834337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1271</Words>
  <Characters>8010</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Pressemitteilung</vt:lpstr>
    </vt:vector>
  </TitlesOfParts>
  <Manager>Sven Schmidt</Manager>
  <Company>LEONI</Company>
  <LinksUpToDate>false</LinksUpToDate>
  <CharactersWithSpaces>9263</CharactersWithSpaces>
  <SharedDoc>false</SharedDoc>
  <HLinks>
    <vt:vector size="24" baseType="variant">
      <vt:variant>
        <vt:i4>917543</vt:i4>
      </vt:variant>
      <vt:variant>
        <vt:i4>15</vt:i4>
      </vt:variant>
      <vt:variant>
        <vt:i4>0</vt:i4>
      </vt:variant>
      <vt:variant>
        <vt:i4>5</vt:i4>
      </vt:variant>
      <vt:variant>
        <vt:lpwstr>mailto:presse@leoni.com</vt:lpwstr>
      </vt:variant>
      <vt:variant>
        <vt:lpwstr/>
      </vt:variant>
      <vt:variant>
        <vt:i4>3145833</vt:i4>
      </vt:variant>
      <vt:variant>
        <vt:i4>9</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Corporate Communications</dc:creator>
  <cp:lastModifiedBy>Wittmann, Ina</cp:lastModifiedBy>
  <cp:revision>4</cp:revision>
  <cp:lastPrinted>2016-03-21T10:15:00Z</cp:lastPrinted>
  <dcterms:created xsi:type="dcterms:W3CDTF">2016-03-21T10:07:00Z</dcterms:created>
  <dcterms:modified xsi:type="dcterms:W3CDTF">2016-03-22T13:39:00Z</dcterms:modified>
</cp:coreProperties>
</file>