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7BE31" w14:textId="6CDBAC4E" w:rsidR="006E0029" w:rsidRPr="00441012" w:rsidRDefault="009F7686" w:rsidP="00D47FA5">
      <w:pPr>
        <w:pStyle w:val="MMU1"/>
      </w:pPr>
      <w:r>
        <w:t xml:space="preserve">Leoni </w:t>
      </w:r>
      <w:r w:rsidR="00D60030">
        <w:t>strukturiert Bordnetzbereich</w:t>
      </w:r>
      <w:r w:rsidR="00352E66">
        <w:t xml:space="preserve"> </w:t>
      </w:r>
      <w:r w:rsidR="00D60030">
        <w:t xml:space="preserve">um </w:t>
      </w:r>
      <w:r w:rsidR="001D2CDB" w:rsidRPr="00441012">
        <w:t xml:space="preserve"> </w:t>
      </w:r>
    </w:p>
    <w:p w14:paraId="5AF82C8D" w14:textId="5D3E8492" w:rsidR="003F74D0" w:rsidRPr="006F0BE8" w:rsidRDefault="00E82B97" w:rsidP="006F0BE8">
      <w:pPr>
        <w:pStyle w:val="MMU2"/>
      </w:pPr>
      <w:r>
        <w:t xml:space="preserve">Geschäftsjahr 2015 mit </w:t>
      </w:r>
      <w:r w:rsidR="00653018">
        <w:t xml:space="preserve">Umsatzzuwachs </w:t>
      </w:r>
      <w:r>
        <w:t xml:space="preserve">– </w:t>
      </w:r>
      <w:r w:rsidR="00325F19">
        <w:t xml:space="preserve">Bordnetz-Projekte belasten </w:t>
      </w:r>
      <w:r>
        <w:t>EBIT</w:t>
      </w:r>
      <w:r w:rsidR="00653018">
        <w:t xml:space="preserve"> 2015 und</w:t>
      </w:r>
      <w:r w:rsidR="00325F19">
        <w:t xml:space="preserve"> 2016</w:t>
      </w:r>
    </w:p>
    <w:p w14:paraId="7DD1F363" w14:textId="6E4E2DC1" w:rsidR="00D04407" w:rsidRPr="006D36F9" w:rsidRDefault="008B1883" w:rsidP="00480076">
      <w:pPr>
        <w:pStyle w:val="MMVorspann"/>
      </w:pPr>
      <w:r>
        <w:t>Nürnberg</w:t>
      </w:r>
      <w:r w:rsidR="00235F52">
        <w:t xml:space="preserve">, </w:t>
      </w:r>
      <w:r w:rsidR="00251591">
        <w:t>23. März</w:t>
      </w:r>
      <w:r w:rsidRPr="009A1070">
        <w:t xml:space="preserve"> 20</w:t>
      </w:r>
      <w:r>
        <w:t>1</w:t>
      </w:r>
      <w:r w:rsidR="004B78AC">
        <w:t>6</w:t>
      </w:r>
      <w:r w:rsidRPr="009A1070">
        <w:t xml:space="preserve"> – </w:t>
      </w:r>
      <w:r w:rsidR="008A3381">
        <w:t>Leoni, de</w:t>
      </w:r>
      <w:r w:rsidR="009A464A">
        <w:t>r</w:t>
      </w:r>
      <w:r>
        <w:t xml:space="preserve"> </w:t>
      </w:r>
      <w:r w:rsidRPr="0099285A">
        <w:t xml:space="preserve">führende </w:t>
      </w:r>
      <w:r w:rsidR="002B59D6">
        <w:t xml:space="preserve">europäische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653018">
        <w:t xml:space="preserve">konnte seinen Umsatz 2015 deutlich steigern </w:t>
      </w:r>
      <w:r w:rsidR="009A464A" w:rsidRPr="00480076">
        <w:t xml:space="preserve">und lag mit </w:t>
      </w:r>
      <w:r w:rsidR="00BB69B8">
        <w:br/>
      </w:r>
      <w:r w:rsidR="00653018" w:rsidRPr="00480076">
        <w:t>4,5 Mrd. Euro</w:t>
      </w:r>
      <w:r w:rsidR="009A464A" w:rsidRPr="00480076">
        <w:t xml:space="preserve"> </w:t>
      </w:r>
      <w:r w:rsidR="00653018" w:rsidRPr="00480076">
        <w:t xml:space="preserve">rund </w:t>
      </w:r>
      <w:r w:rsidR="009A464A" w:rsidRPr="00480076">
        <w:t>10 Prozent über dem Wert des Vorjah</w:t>
      </w:r>
      <w:r w:rsidR="009A464A">
        <w:t xml:space="preserve">res. 5,5 Prozent des Zuwachses gelangen aus eigener Kraft, wobei </w:t>
      </w:r>
      <w:r w:rsidR="00F55602">
        <w:t>sowohl die</w:t>
      </w:r>
      <w:r w:rsidR="00F27323">
        <w:t xml:space="preserve"> Automobil</w:t>
      </w:r>
      <w:r w:rsidR="00F55602">
        <w:t xml:space="preserve">branche als auch zahlreiche Industriebereiche </w:t>
      </w:r>
      <w:r w:rsidR="009A464A">
        <w:t xml:space="preserve">für eine </w:t>
      </w:r>
      <w:r w:rsidR="00F55602">
        <w:t>er</w:t>
      </w:r>
      <w:r w:rsidR="009A464A">
        <w:t>h</w:t>
      </w:r>
      <w:r w:rsidR="00F55602">
        <w:t>öhte</w:t>
      </w:r>
      <w:r w:rsidR="009A464A">
        <w:t xml:space="preserve"> Nachfrage sorgte</w:t>
      </w:r>
      <w:r w:rsidR="00F55602">
        <w:t>n</w:t>
      </w:r>
      <w:r w:rsidR="009A464A">
        <w:t xml:space="preserve">. </w:t>
      </w:r>
      <w:r w:rsidR="00F55602">
        <w:t xml:space="preserve">Das Ergebnis vor Zinsen und Steuern (EBIT) ging </w:t>
      </w:r>
      <w:r w:rsidR="00F71821">
        <w:t xml:space="preserve">allerdings </w:t>
      </w:r>
      <w:r w:rsidR="00F55602">
        <w:t>auf 151,3 Mio. Euro zurück (Vorjahr: 182,5 Mio. Euro)</w:t>
      </w:r>
      <w:r w:rsidR="00F71821">
        <w:t>.</w:t>
      </w:r>
      <w:r w:rsidR="00352E66">
        <w:t xml:space="preserve"> </w:t>
      </w:r>
      <w:r w:rsidR="00F55602">
        <w:t xml:space="preserve">Hauptgrund waren außerplanmäßig hohe Aufwendungen bei Neuprojekten des Unternehmensbereichs </w:t>
      </w:r>
      <w:proofErr w:type="spellStart"/>
      <w:r w:rsidR="00F55602">
        <w:t>Wiring</w:t>
      </w:r>
      <w:proofErr w:type="spellEnd"/>
      <w:r w:rsidR="00F55602">
        <w:t xml:space="preserve"> Systems</w:t>
      </w:r>
      <w:r w:rsidR="00C663CB">
        <w:t xml:space="preserve"> </w:t>
      </w:r>
      <w:r w:rsidR="00F55602">
        <w:t>im dritten und vierten Quartal</w:t>
      </w:r>
      <w:r w:rsidR="00480076">
        <w:t xml:space="preserve">. </w:t>
      </w:r>
      <w:r w:rsidR="00F71821">
        <w:t xml:space="preserve">Zudem enthält dieser Wert einen Einmaleffekt von 19,6 Mio. Euro aus einem anteiligen Werksverkauf. </w:t>
      </w:r>
      <w:r w:rsidR="00532C20">
        <w:t xml:space="preserve">Der Konzernüberschuss </w:t>
      </w:r>
      <w:r w:rsidR="00480076">
        <w:t xml:space="preserve">beträgt </w:t>
      </w:r>
      <w:r w:rsidR="00532C20">
        <w:t>77,3 Mio. Euro (</w:t>
      </w:r>
      <w:r w:rsidR="00480076">
        <w:t>Vorjahr</w:t>
      </w:r>
      <w:r w:rsidR="00532C20">
        <w:t>: 115,1</w:t>
      </w:r>
      <w:r w:rsidR="00480076">
        <w:t xml:space="preserve"> Mio. Euro</w:t>
      </w:r>
      <w:r w:rsidR="00532C20">
        <w:t>).</w:t>
      </w:r>
      <w:r w:rsidR="00F27323">
        <w:t xml:space="preserve"> </w:t>
      </w:r>
      <w:r w:rsidR="00480076">
        <w:t>Leoni</w:t>
      </w:r>
      <w:r w:rsidR="00480076" w:rsidRPr="00F27323">
        <w:t xml:space="preserve"> beabsichtigt, eine Divide</w:t>
      </w:r>
      <w:r w:rsidR="00480076">
        <w:t>nde von 1</w:t>
      </w:r>
      <w:r w:rsidR="004E5849">
        <w:t>,00</w:t>
      </w:r>
      <w:r w:rsidR="00480076">
        <w:t xml:space="preserve"> Euro (Vorjahr: 1,20</w:t>
      </w:r>
      <w:r w:rsidR="00480076" w:rsidRPr="00F27323">
        <w:t xml:space="preserve"> Euro) pro Aktie auszuschütten</w:t>
      </w:r>
      <w:r w:rsidR="00480076">
        <w:t xml:space="preserve">. Um die Profitabilität langfristig zu steigern, hat der Konzern ein umfangreiches Maßnahmenpaket entwickelt, dessen Umsetzung bereits begonnen hat. </w:t>
      </w:r>
    </w:p>
    <w:p w14:paraId="7A7318D1" w14:textId="426E1370" w:rsidR="008B1883" w:rsidRDefault="0040720B" w:rsidP="00877C02">
      <w:pPr>
        <w:pStyle w:val="MMFlietext"/>
      </w:pPr>
      <w:r>
        <w:t>„</w:t>
      </w:r>
      <w:r w:rsidR="00480076">
        <w:t xml:space="preserve">2015 war ein </w:t>
      </w:r>
      <w:r w:rsidR="004E5849">
        <w:t xml:space="preserve">herausforderndes </w:t>
      </w:r>
      <w:r w:rsidR="00480076">
        <w:t xml:space="preserve">Jahr </w:t>
      </w:r>
      <w:r w:rsidR="004E5849">
        <w:t>für das Unternehmen.</w:t>
      </w:r>
      <w:r w:rsidR="000C33D0">
        <w:t xml:space="preserve"> </w:t>
      </w:r>
      <w:r w:rsidR="00F71821">
        <w:t>Der Umsatz hat sich erfreulich entwickelt</w:t>
      </w:r>
      <w:r w:rsidR="00480076">
        <w:t xml:space="preserve">, doch </w:t>
      </w:r>
      <w:r w:rsidR="004E5849">
        <w:t>das</w:t>
      </w:r>
      <w:r w:rsidR="00480076">
        <w:t xml:space="preserve"> Ergebnis </w:t>
      </w:r>
      <w:r w:rsidR="004E5849">
        <w:t>ist enttäuschend</w:t>
      </w:r>
      <w:r w:rsidR="00480076">
        <w:t>.</w:t>
      </w:r>
      <w:r>
        <w:t xml:space="preserve"> </w:t>
      </w:r>
      <w:r w:rsidR="00653018">
        <w:t>Es hat</w:t>
      </w:r>
      <w:r w:rsidR="003F5FDE">
        <w:t xml:space="preserve"> </w:t>
      </w:r>
      <w:r w:rsidR="00A751B9">
        <w:t>für uns höchste Priorität</w:t>
      </w:r>
      <w:r w:rsidR="008B4F95">
        <w:t>, die</w:t>
      </w:r>
      <w:r w:rsidR="00AE0F06">
        <w:t xml:space="preserve"> Probleme </w:t>
      </w:r>
      <w:r w:rsidR="00D60030">
        <w:t xml:space="preserve">im Bordnetz-Bereich </w:t>
      </w:r>
      <w:r w:rsidR="004E5849">
        <w:t>aufzuarbeit</w:t>
      </w:r>
      <w:r w:rsidR="00AE0F06">
        <w:t>en</w:t>
      </w:r>
      <w:r w:rsidR="00157668">
        <w:t xml:space="preserve">: </w:t>
      </w:r>
      <w:r w:rsidR="00A751B9">
        <w:t xml:space="preserve">Wir haben </w:t>
      </w:r>
      <w:r w:rsidR="00D60030">
        <w:t xml:space="preserve">Maßnahmen </w:t>
      </w:r>
      <w:r w:rsidR="00F71821">
        <w:t xml:space="preserve">ergriffen, </w:t>
      </w:r>
      <w:r w:rsidR="00A751B9">
        <w:t xml:space="preserve">um die Effizienz </w:t>
      </w:r>
      <w:r w:rsidR="00D60030">
        <w:t xml:space="preserve">nachhaltig </w:t>
      </w:r>
      <w:r w:rsidR="00A751B9">
        <w:t>zu steigern</w:t>
      </w:r>
      <w:r w:rsidR="008B4F95">
        <w:t>“</w:t>
      </w:r>
      <w:r w:rsidR="00AE0F06">
        <w:t xml:space="preserve">, </w:t>
      </w:r>
      <w:r w:rsidR="00283A4E">
        <w:t>sagt</w:t>
      </w:r>
      <w:r w:rsidR="00F4749E">
        <w:t>e</w:t>
      </w:r>
      <w:r w:rsidR="00283A4E">
        <w:t xml:space="preserve"> Dieter Bellé, Vorstandsvorsitzender der Leoni AG</w:t>
      </w:r>
      <w:r w:rsidR="00F4749E">
        <w:t xml:space="preserve">, im Rahmen </w:t>
      </w:r>
      <w:r w:rsidR="00F4749E" w:rsidRPr="00F4749E">
        <w:t>der Bilanzpressekonferenz der Unternehmensgruppe</w:t>
      </w:r>
      <w:r w:rsidR="00283A4E">
        <w:t xml:space="preserve">. </w:t>
      </w:r>
    </w:p>
    <w:p w14:paraId="66A68370" w14:textId="6E7C3B13" w:rsidR="008B1883" w:rsidRPr="00F026D8" w:rsidRDefault="00F4749E" w:rsidP="000C33D0">
      <w:pPr>
        <w:pStyle w:val="MMZwischenberschrift"/>
      </w:pPr>
      <w:r w:rsidRPr="00F026D8">
        <w:t xml:space="preserve">WSD: </w:t>
      </w:r>
      <w:r w:rsidR="00F71821">
        <w:t>2016 im Zeichen der Re</w:t>
      </w:r>
      <w:r w:rsidR="00C56EEB">
        <w:t>organisation</w:t>
      </w:r>
      <w:r w:rsidR="00F71821">
        <w:t xml:space="preserve"> </w:t>
      </w:r>
      <w:r w:rsidR="00834D0C">
        <w:t xml:space="preserve"> </w:t>
      </w:r>
    </w:p>
    <w:p w14:paraId="1D0D5A7F" w14:textId="4CD914D6" w:rsidR="007F73CF" w:rsidRDefault="00204990" w:rsidP="00A751B9">
      <w:pPr>
        <w:pStyle w:val="MMFlietext"/>
      </w:pPr>
      <w:r w:rsidRPr="00204990">
        <w:t xml:space="preserve">Der Unternehmensbereich </w:t>
      </w:r>
      <w:proofErr w:type="spellStart"/>
      <w:r w:rsidRPr="00204990">
        <w:t>Wiring</w:t>
      </w:r>
      <w:proofErr w:type="spellEnd"/>
      <w:r w:rsidRPr="00204990">
        <w:t xml:space="preserve"> Systems (WSD)</w:t>
      </w:r>
      <w:r>
        <w:t xml:space="preserve"> konnte den Umsatz im Berichtsjahr </w:t>
      </w:r>
      <w:r w:rsidR="00A751B9">
        <w:t xml:space="preserve">um 11 Prozent </w:t>
      </w:r>
      <w:r>
        <w:t>auf 2.</w:t>
      </w:r>
      <w:r w:rsidR="000A14BC">
        <w:t xml:space="preserve">668 Mio. Euro steigern </w:t>
      </w:r>
      <w:r w:rsidR="004A0075">
        <w:t>(2014</w:t>
      </w:r>
      <w:r>
        <w:t xml:space="preserve">: </w:t>
      </w:r>
      <w:r w:rsidRPr="00204990">
        <w:t>2.</w:t>
      </w:r>
      <w:r w:rsidR="00A751B9">
        <w:t>400</w:t>
      </w:r>
      <w:r w:rsidRPr="00204990">
        <w:t xml:space="preserve"> Mio. Euro</w:t>
      </w:r>
      <w:r>
        <w:t>)</w:t>
      </w:r>
      <w:r w:rsidR="000A14BC">
        <w:t xml:space="preserve">. </w:t>
      </w:r>
      <w:r w:rsidR="00A751B9">
        <w:t xml:space="preserve">Besonders kräftig erhöhte sich der Umsatz mit den exportstarken </w:t>
      </w:r>
      <w:r w:rsidR="00A751B9">
        <w:lastRenderedPageBreak/>
        <w:t xml:space="preserve">deutschen Automobilherstellern. </w:t>
      </w:r>
      <w:r w:rsidR="007F73CF">
        <w:t xml:space="preserve">Mit der Eröffnung des fünften chinesischen Werks in </w:t>
      </w:r>
      <w:proofErr w:type="spellStart"/>
      <w:r w:rsidR="007F73CF">
        <w:t>Tieling</w:t>
      </w:r>
      <w:proofErr w:type="spellEnd"/>
      <w:r w:rsidR="00586387">
        <w:t>, dem Abschluss eines Joint Ventures in China</w:t>
      </w:r>
      <w:r w:rsidR="007F73CF">
        <w:t xml:space="preserve"> und der Einweihung eines Produktionsstandortes in Paraguay konnte die WSD ihre Globalisierungsstrategie fortsetzen. Zudem konnte der Unternehmensbereich die asiatischen Automobilhersteller Hyundai und </w:t>
      </w:r>
      <w:proofErr w:type="spellStart"/>
      <w:r w:rsidR="007F73CF">
        <w:t>Geely</w:t>
      </w:r>
      <w:proofErr w:type="spellEnd"/>
      <w:r w:rsidR="00586387">
        <w:t>/</w:t>
      </w:r>
      <w:r w:rsidR="007F73CF">
        <w:t>Volvo als Kunden gewinnen</w:t>
      </w:r>
      <w:r w:rsidR="00586387">
        <w:t>; i</w:t>
      </w:r>
      <w:r w:rsidR="009A49DB">
        <w:t xml:space="preserve">nsgesamt </w:t>
      </w:r>
      <w:r w:rsidR="003F5FDE">
        <w:t>wurde</w:t>
      </w:r>
      <w:r w:rsidR="00586387">
        <w:t xml:space="preserve"> im </w:t>
      </w:r>
      <w:r w:rsidR="009A49DB">
        <w:t>Berichtsjahr ein Auftragse</w:t>
      </w:r>
      <w:r w:rsidR="00157668">
        <w:t>ingang von 4</w:t>
      </w:r>
      <w:r w:rsidR="00FF5171">
        <w:t>,1</w:t>
      </w:r>
      <w:r w:rsidR="00157668">
        <w:t xml:space="preserve"> Mrd. Euro</w:t>
      </w:r>
      <w:r w:rsidR="00586387">
        <w:t xml:space="preserve"> verbucht</w:t>
      </w:r>
      <w:r w:rsidR="009A49DB">
        <w:t>.</w:t>
      </w:r>
    </w:p>
    <w:p w14:paraId="425AE95C" w14:textId="711BF1ED" w:rsidR="00A51056" w:rsidRDefault="00110527" w:rsidP="00271877">
      <w:pPr>
        <w:pStyle w:val="MMFlietext"/>
      </w:pPr>
      <w:r>
        <w:t>Das EBIT de</w:t>
      </w:r>
      <w:r w:rsidR="00325F19">
        <w:t>s Unternehmensbereichs</w:t>
      </w:r>
      <w:r>
        <w:t xml:space="preserve"> </w:t>
      </w:r>
      <w:r w:rsidR="00325F19">
        <w:t xml:space="preserve">nahm </w:t>
      </w:r>
      <w:r>
        <w:t xml:space="preserve">im Geschäftsjahr 2015 </w:t>
      </w:r>
      <w:r w:rsidR="00325F19">
        <w:t xml:space="preserve">auf </w:t>
      </w:r>
      <w:r>
        <w:t>87,4 Mio. Euro (Vorjahr: 104,6 Mio. Euro)</w:t>
      </w:r>
      <w:r w:rsidR="00325F19">
        <w:t xml:space="preserve"> ab</w:t>
      </w:r>
      <w:r>
        <w:t xml:space="preserve">, wobei hier der Einmaleffekt des </w:t>
      </w:r>
      <w:r w:rsidR="00325F19">
        <w:t>anteiligen Werksv</w:t>
      </w:r>
      <w:r>
        <w:t xml:space="preserve">erkaufs </w:t>
      </w:r>
      <w:r w:rsidR="00325F19">
        <w:t xml:space="preserve">enthalten ist. </w:t>
      </w:r>
      <w:r>
        <w:t xml:space="preserve">Hauptursache </w:t>
      </w:r>
      <w:r w:rsidR="00325F19">
        <w:t>für das deutlich niedriger</w:t>
      </w:r>
      <w:r w:rsidR="00834D0C">
        <w:t>e</w:t>
      </w:r>
      <w:r w:rsidR="00325F19">
        <w:t xml:space="preserve"> Ergebnis </w:t>
      </w:r>
      <w:r>
        <w:t xml:space="preserve">waren </w:t>
      </w:r>
      <w:r w:rsidR="00325F19">
        <w:t>massive Kosten</w:t>
      </w:r>
      <w:r w:rsidR="00087C38">
        <w:t xml:space="preserve">steigerungen beim </w:t>
      </w:r>
      <w:proofErr w:type="spellStart"/>
      <w:r w:rsidR="00087C38">
        <w:t>Hochlauf</w:t>
      </w:r>
      <w:proofErr w:type="spellEnd"/>
      <w:r w:rsidR="00087C38">
        <w:t xml:space="preserve"> neuer Projekte. </w:t>
      </w:r>
      <w:r w:rsidR="00C007DE">
        <w:t>Dr. Frank Hiller</w:t>
      </w:r>
      <w:r w:rsidR="00F84D48">
        <w:t xml:space="preserve">, Mitglied des Vorstands der Leoni AG und verantwortlich für den Unternehmensbereich </w:t>
      </w:r>
      <w:proofErr w:type="spellStart"/>
      <w:r w:rsidR="00F84D48">
        <w:t>Wiring</w:t>
      </w:r>
      <w:proofErr w:type="spellEnd"/>
      <w:r w:rsidR="00F84D48">
        <w:t xml:space="preserve"> Systems,</w:t>
      </w:r>
      <w:r w:rsidR="00C007DE">
        <w:t xml:space="preserve"> sagte: „</w:t>
      </w:r>
      <w:r w:rsidR="007E7AA7">
        <w:t>Um die Profitabilität zu erhöhen, ha</w:t>
      </w:r>
      <w:r w:rsidR="00A51056">
        <w:t xml:space="preserve">ben wir </w:t>
      </w:r>
      <w:r w:rsidR="00361728">
        <w:t xml:space="preserve">ein </w:t>
      </w:r>
      <w:r w:rsidR="007E7AA7">
        <w:t>um</w:t>
      </w:r>
      <w:r w:rsidR="00C56EEB">
        <w:t xml:space="preserve">fangreiches </w:t>
      </w:r>
      <w:r w:rsidR="00057659">
        <w:t>Effizienz</w:t>
      </w:r>
      <w:r w:rsidR="00361728">
        <w:t xml:space="preserve">programm </w:t>
      </w:r>
      <w:r w:rsidR="00057659">
        <w:t>auf den Weg</w:t>
      </w:r>
      <w:r w:rsidR="007E7AA7">
        <w:t xml:space="preserve"> gebracht. </w:t>
      </w:r>
      <w:r w:rsidR="00834D0C">
        <w:t>Die</w:t>
      </w:r>
      <w:r w:rsidR="007E7AA7">
        <w:t xml:space="preserve"> Umsetzung </w:t>
      </w:r>
      <w:r w:rsidR="00834D0C">
        <w:t xml:space="preserve">hat </w:t>
      </w:r>
      <w:r w:rsidR="007E7AA7">
        <w:t>bereits begonnen.</w:t>
      </w:r>
      <w:r w:rsidR="00A51056">
        <w:t>“</w:t>
      </w:r>
    </w:p>
    <w:p w14:paraId="25CFAC75" w14:textId="5C6E0B08" w:rsidR="00157668" w:rsidRDefault="007E7AA7" w:rsidP="00271877">
      <w:pPr>
        <w:pStyle w:val="MMFlietext"/>
      </w:pPr>
      <w:r>
        <w:t xml:space="preserve">Erstens </w:t>
      </w:r>
      <w:r w:rsidR="00361728">
        <w:t xml:space="preserve">wird angestrebt, </w:t>
      </w:r>
      <w:r w:rsidR="00057659">
        <w:t xml:space="preserve">die </w:t>
      </w:r>
      <w:r w:rsidR="00361728">
        <w:t xml:space="preserve">Performance der für die Ergebnisbelastung maßgeblichen </w:t>
      </w:r>
      <w:r w:rsidR="00057659">
        <w:t>Projekte</w:t>
      </w:r>
      <w:r w:rsidR="00361728">
        <w:t xml:space="preserve"> zu</w:t>
      </w:r>
      <w:r w:rsidR="00057659">
        <w:t xml:space="preserve"> steigern.</w:t>
      </w:r>
      <w:r w:rsidR="00361728">
        <w:t xml:space="preserve"> Zweitens verbessert Leoni die </w:t>
      </w:r>
      <w:r w:rsidR="00F129BE">
        <w:t xml:space="preserve">Prozesse </w:t>
      </w:r>
      <w:r w:rsidR="00A20DB3">
        <w:t xml:space="preserve">in </w:t>
      </w:r>
      <w:r w:rsidR="009A49DB">
        <w:t>Projektplanung und</w:t>
      </w:r>
      <w:r w:rsidR="00361728">
        <w:t xml:space="preserve"> </w:t>
      </w:r>
      <w:r w:rsidR="000C33D0">
        <w:t>-</w:t>
      </w:r>
      <w:r w:rsidR="00E54C76">
        <w:t>umsetzung</w:t>
      </w:r>
      <w:r w:rsidR="00361728">
        <w:t xml:space="preserve">. Drittens wird die Matrix-Organisation vereinfacht, </w:t>
      </w:r>
      <w:r w:rsidR="00214804">
        <w:t xml:space="preserve">um </w:t>
      </w:r>
      <w:r w:rsidR="00E54C76">
        <w:t>k</w:t>
      </w:r>
      <w:r w:rsidR="007E4233">
        <w:t>urze</w:t>
      </w:r>
      <w:r w:rsidR="00E54C76">
        <w:t xml:space="preserve"> Entscheidungswege</w:t>
      </w:r>
      <w:r w:rsidR="00214804">
        <w:t xml:space="preserve">, </w:t>
      </w:r>
      <w:r w:rsidR="00361728">
        <w:t xml:space="preserve">klare Zuständigkeiten und geringere Kosten </w:t>
      </w:r>
      <w:r w:rsidR="00214804">
        <w:t>zu ermöglichen</w:t>
      </w:r>
      <w:r w:rsidR="000651EC">
        <w:t>.</w:t>
      </w:r>
      <w:r w:rsidR="009A49DB">
        <w:t xml:space="preserve"> </w:t>
      </w:r>
      <w:r w:rsidR="00271877">
        <w:t>Das Maßnahmenpaket wird nachhaltig zu einer Steigerung der Profitabilität führen, 2016 jedoch mit einem Restrukturierun</w:t>
      </w:r>
      <w:r w:rsidR="00FF5171">
        <w:t xml:space="preserve">gsaufwand von ca. 25 Mio. Euro </w:t>
      </w:r>
      <w:r w:rsidR="00271877">
        <w:t xml:space="preserve">verbunden sein. </w:t>
      </w:r>
      <w:r w:rsidR="009A49DB">
        <w:t xml:space="preserve">Für das Geschäftsjahr </w:t>
      </w:r>
      <w:r w:rsidR="00F247D5">
        <w:t xml:space="preserve">2016 </w:t>
      </w:r>
      <w:r w:rsidR="009A49DB">
        <w:t>plant das Unternehmen mit 2,6 Mrd. Euro Umsatz und einem EBIT von 30 Mio. Euro</w:t>
      </w:r>
      <w:r w:rsidR="00F247D5">
        <w:t xml:space="preserve"> im Segment WSD</w:t>
      </w:r>
      <w:r w:rsidR="009A49DB">
        <w:t>.</w:t>
      </w:r>
    </w:p>
    <w:p w14:paraId="2B17C146" w14:textId="4735A827" w:rsidR="00F4749E" w:rsidRPr="00A5162F" w:rsidRDefault="00F4749E" w:rsidP="000C33D0">
      <w:pPr>
        <w:pStyle w:val="MMZwischenberschrift"/>
      </w:pPr>
      <w:r w:rsidRPr="00A5162F">
        <w:t xml:space="preserve">WCS: </w:t>
      </w:r>
      <w:r w:rsidR="005F490F" w:rsidRPr="005F490F">
        <w:t xml:space="preserve">Stärkere </w:t>
      </w:r>
      <w:r w:rsidR="00352E66">
        <w:t xml:space="preserve">strategische </w:t>
      </w:r>
      <w:r w:rsidR="005F490F" w:rsidRPr="005F490F">
        <w:t xml:space="preserve">Fokussierung </w:t>
      </w:r>
    </w:p>
    <w:p w14:paraId="495E6552" w14:textId="49EA39C5" w:rsidR="00A57FA1" w:rsidRDefault="00022E23" w:rsidP="006E5E89">
      <w:pPr>
        <w:pStyle w:val="MMFlietext"/>
      </w:pPr>
      <w:r w:rsidRPr="00A5162F">
        <w:t xml:space="preserve">Der Unternehmensbereich </w:t>
      </w:r>
      <w:proofErr w:type="spellStart"/>
      <w:r w:rsidRPr="00A5162F">
        <w:t>W</w:t>
      </w:r>
      <w:r w:rsidR="007E4233">
        <w:t>ire</w:t>
      </w:r>
      <w:proofErr w:type="spellEnd"/>
      <w:r w:rsidR="007E4233">
        <w:t xml:space="preserve"> &amp; Cable Solutions </w:t>
      </w:r>
      <w:r w:rsidR="00B038D8">
        <w:t xml:space="preserve">(WCS) </w:t>
      </w:r>
      <w:r w:rsidR="00F026D8">
        <w:t xml:space="preserve">profitierte </w:t>
      </w:r>
      <w:r w:rsidR="007E4233">
        <w:t xml:space="preserve">2015 </w:t>
      </w:r>
      <w:r w:rsidR="00F026D8">
        <w:t xml:space="preserve">von der </w:t>
      </w:r>
      <w:r w:rsidR="00271877">
        <w:t>weiter starken Nachfrage nach Fahrzeugleitungen sowie einer gute</w:t>
      </w:r>
      <w:r w:rsidR="00094CA3">
        <w:t>n</w:t>
      </w:r>
      <w:bookmarkStart w:id="0" w:name="_GoBack"/>
      <w:bookmarkEnd w:id="0"/>
      <w:r w:rsidR="00271877">
        <w:t xml:space="preserve"> Entwicklung des Geschäfts mit Kabeln für Industrie und Gesundheitswesen. Der </w:t>
      </w:r>
      <w:r w:rsidR="00513932">
        <w:t xml:space="preserve">Umsatz </w:t>
      </w:r>
      <w:r w:rsidR="00271877">
        <w:t xml:space="preserve">stieg um 8 Prozent </w:t>
      </w:r>
      <w:r w:rsidR="00513932">
        <w:t>auf 1.835 Mio. Euro (</w:t>
      </w:r>
      <w:r w:rsidR="00271877">
        <w:t>Vorjahr</w:t>
      </w:r>
      <w:r w:rsidR="00513932">
        <w:t xml:space="preserve">: 1.704 Mio. Euro). </w:t>
      </w:r>
      <w:r w:rsidR="007107D8">
        <w:t xml:space="preserve">Die Eröffnung von zwei neuen </w:t>
      </w:r>
      <w:r w:rsidR="00513932">
        <w:t>We</w:t>
      </w:r>
      <w:r w:rsidR="007107D8">
        <w:t>rken</w:t>
      </w:r>
      <w:r w:rsidR="00513932">
        <w:t xml:space="preserve"> für Automobilleitungen in China und </w:t>
      </w:r>
      <w:r w:rsidR="007107D8">
        <w:t xml:space="preserve">Mexiko </w:t>
      </w:r>
      <w:r w:rsidR="00271877">
        <w:t xml:space="preserve">im Berichtsjahr </w:t>
      </w:r>
      <w:r w:rsidR="007107D8">
        <w:t>schaffen die Voraussetzungen für weiteres Wachstum</w:t>
      </w:r>
      <w:r w:rsidR="00271877">
        <w:t xml:space="preserve"> </w:t>
      </w:r>
      <w:r w:rsidR="00271877">
        <w:lastRenderedPageBreak/>
        <w:t>in den Regionen Asien und Amerika</w:t>
      </w:r>
      <w:r w:rsidR="007107D8">
        <w:t xml:space="preserve">. </w:t>
      </w:r>
      <w:r w:rsidR="006C5D8F">
        <w:t>Unter anderem schmälerten negative Wechselkurseinflüsse, ein gesunkener Kupferpreis und Forderungs</w:t>
      </w:r>
      <w:r w:rsidR="007E4233">
        <w:t>-</w:t>
      </w:r>
      <w:r w:rsidR="006C5D8F">
        <w:t xml:space="preserve">abschreibungen das Ergebnis – insbesondere im 4. Quartal. Das Segment-EBIT beläuft sich </w:t>
      </w:r>
      <w:r w:rsidR="007107D8">
        <w:t xml:space="preserve">auf </w:t>
      </w:r>
      <w:r w:rsidR="000C3DD5">
        <w:t>6</w:t>
      </w:r>
      <w:r w:rsidR="0090176A">
        <w:t>3,9</w:t>
      </w:r>
      <w:r w:rsidR="007107D8">
        <w:t xml:space="preserve"> Mio. </w:t>
      </w:r>
      <w:r w:rsidR="000C3DD5">
        <w:t>Euro (</w:t>
      </w:r>
      <w:r w:rsidR="006C5D8F">
        <w:t>Vorjahr</w:t>
      </w:r>
      <w:r w:rsidR="000C3DD5">
        <w:t>: 78,1</w:t>
      </w:r>
      <w:r w:rsidR="006C5D8F">
        <w:t xml:space="preserve"> Mio. Euro</w:t>
      </w:r>
      <w:r w:rsidR="007107D8">
        <w:t>)</w:t>
      </w:r>
      <w:r w:rsidR="008D7DDA">
        <w:t>.</w:t>
      </w:r>
      <w:r w:rsidR="00F57432">
        <w:t xml:space="preserve"> </w:t>
      </w:r>
    </w:p>
    <w:p w14:paraId="4561D68A" w14:textId="13EC8722" w:rsidR="00852108" w:rsidRDefault="006C5D8F" w:rsidP="00852108">
      <w:pPr>
        <w:pStyle w:val="MMFlietext"/>
      </w:pPr>
      <w:r>
        <w:t xml:space="preserve">Mit dem Ziel </w:t>
      </w:r>
      <w:r w:rsidR="00BC0EBE">
        <w:t>eine</w:t>
      </w:r>
      <w:r>
        <w:t>r</w:t>
      </w:r>
      <w:r w:rsidR="00BC0EBE">
        <w:t xml:space="preserve"> </w:t>
      </w:r>
      <w:r>
        <w:t xml:space="preserve">strategischen Weiterentwicklung </w:t>
      </w:r>
      <w:r w:rsidR="00A57FA1">
        <w:t xml:space="preserve">wird der Unternehmensbereich </w:t>
      </w:r>
      <w:r>
        <w:t xml:space="preserve">seine Marktaktivitäten </w:t>
      </w:r>
      <w:r w:rsidR="00352E66">
        <w:t xml:space="preserve">stärker </w:t>
      </w:r>
      <w:r>
        <w:t xml:space="preserve">fokussieren und hierfür eine Konsolidierung seines Portfolios prüfen. </w:t>
      </w:r>
      <w:r w:rsidR="00F247D5">
        <w:t>Neben de</w:t>
      </w:r>
      <w:r w:rsidR="00352E66">
        <w:t xml:space="preserve">r weiteren Stärkung </w:t>
      </w:r>
      <w:r w:rsidR="00F247D5">
        <w:t xml:space="preserve">der Marktposition bei Fahrzeugleitungen steht </w:t>
      </w:r>
      <w:r w:rsidR="00352E66">
        <w:t xml:space="preserve">der Ausbau </w:t>
      </w:r>
      <w:r w:rsidR="00C56EEB">
        <w:t xml:space="preserve">ausgewählter </w:t>
      </w:r>
      <w:r w:rsidR="00F247D5">
        <w:t xml:space="preserve">Industriegeschäftsfelder auf der Agenda. </w:t>
      </w:r>
      <w:r>
        <w:t>D</w:t>
      </w:r>
      <w:r w:rsidR="00F247D5">
        <w:t>abei wird d</w:t>
      </w:r>
      <w:r>
        <w:t xml:space="preserve">ie Entwicklung zum Lösungsanbieter forciert. </w:t>
      </w:r>
      <w:r w:rsidR="00A57FA1">
        <w:t xml:space="preserve">Für das Geschäftsjahr 2016 rechnet Leoni </w:t>
      </w:r>
      <w:r w:rsidR="00F247D5">
        <w:t xml:space="preserve">im Segment </w:t>
      </w:r>
      <w:r w:rsidR="00A20DB3">
        <w:t xml:space="preserve">WCS </w:t>
      </w:r>
      <w:r w:rsidR="00A57FA1">
        <w:t>mit einem Umsatz von 1,8 Mrd. Euro und 75 Mio. EBIT</w:t>
      </w:r>
      <w:r w:rsidR="00F247D5">
        <w:t>; hierbei sind 5 Mio. Euro Restrukturierungskosten berücksichtigt</w:t>
      </w:r>
      <w:r w:rsidR="00A57FA1">
        <w:t>.</w:t>
      </w:r>
    </w:p>
    <w:p w14:paraId="557042E6" w14:textId="77777777" w:rsidR="00AF0CA5" w:rsidRPr="00AF0CA5" w:rsidRDefault="00AF0CA5" w:rsidP="00AF0CA5">
      <w:pPr>
        <w:pStyle w:val="MMZwischenberschrift"/>
      </w:pPr>
      <w:r w:rsidRPr="00AF0CA5">
        <w:t>Investitionen</w:t>
      </w:r>
      <w:r>
        <w:t xml:space="preserve"> um 15 Prozent ausgeweitet </w:t>
      </w:r>
      <w:r w:rsidRPr="00AF0CA5">
        <w:t xml:space="preserve"> </w:t>
      </w:r>
    </w:p>
    <w:p w14:paraId="37245CDD" w14:textId="0FD035A0" w:rsidR="00AF0CA5" w:rsidRPr="005258BF" w:rsidRDefault="00AF0CA5" w:rsidP="004579E1">
      <w:pPr>
        <w:pStyle w:val="MMFlietext"/>
      </w:pPr>
      <w:r>
        <w:t xml:space="preserve">Im Geschäftsjahr 2015 hat Leoni erneut stark investiert und für </w:t>
      </w:r>
      <w:r w:rsidRPr="00BD64D4">
        <w:t>Sachanlagen und immaterielle Vermögenswerte</w:t>
      </w:r>
      <w:r>
        <w:t xml:space="preserve"> die </w:t>
      </w:r>
      <w:r w:rsidRPr="00D5108C">
        <w:t xml:space="preserve">Rekordsumme </w:t>
      </w:r>
      <w:r>
        <w:t>von 247,</w:t>
      </w:r>
      <w:r w:rsidR="00C663CB">
        <w:t>5</w:t>
      </w:r>
      <w:r>
        <w:t xml:space="preserve"> Mio. Euro (Vorjahr: 215,8</w:t>
      </w:r>
      <w:r w:rsidRPr="00A23623">
        <w:t xml:space="preserve"> Mio. Euro) aufgewendet</w:t>
      </w:r>
      <w:r>
        <w:t>.</w:t>
      </w:r>
      <w:r w:rsidR="004579E1">
        <w:t xml:space="preserve"> Wichtige internationale Projekte waren die Errichtung </w:t>
      </w:r>
      <w:r w:rsidR="00C663CB">
        <w:t xml:space="preserve">des </w:t>
      </w:r>
      <w:r w:rsidR="004579E1">
        <w:t xml:space="preserve">fünften Bordnetz-Werks in China und der Bau </w:t>
      </w:r>
      <w:r w:rsidR="00C663CB">
        <w:t xml:space="preserve">der </w:t>
      </w:r>
      <w:r w:rsidR="004579E1">
        <w:t>ersten Produktionsstätte in Paraguay</w:t>
      </w:r>
      <w:r>
        <w:t xml:space="preserve"> </w:t>
      </w:r>
      <w:r w:rsidR="004579E1">
        <w:t xml:space="preserve">sowie </w:t>
      </w:r>
      <w:r w:rsidR="000651EC">
        <w:t>die Inbetriebnahme von</w:t>
      </w:r>
      <w:r w:rsidR="004579E1">
        <w:t xml:space="preserve"> zwei neue</w:t>
      </w:r>
      <w:r w:rsidR="000651EC">
        <w:t>n</w:t>
      </w:r>
      <w:r w:rsidR="004579E1">
        <w:t xml:space="preserve"> Automobilkabel-Werke</w:t>
      </w:r>
      <w:r w:rsidR="000651EC">
        <w:t>n</w:t>
      </w:r>
      <w:r w:rsidR="004579E1">
        <w:t xml:space="preserve"> in China und Mexiko und eine</w:t>
      </w:r>
      <w:r w:rsidR="000651EC">
        <w:t>r</w:t>
      </w:r>
      <w:r w:rsidR="004579E1">
        <w:t xml:space="preserve"> Spezialkabel-Fertigung in Osteuropa. In Deutschland wurde vor allem in die zweite Modernisierungsphase der Bordnetz-Divisionszentrale in Kitzingen, den Ausbau der Highspeed-Kabelproduktion in Friesoythe sowie in den Kauf </w:t>
      </w:r>
      <w:r w:rsidR="004579E1" w:rsidRPr="004579E1">
        <w:t>d</w:t>
      </w:r>
      <w:r w:rsidR="004579E1">
        <w:t>e</w:t>
      </w:r>
      <w:r w:rsidR="004579E1" w:rsidRPr="004579E1">
        <w:t>s Grundstück</w:t>
      </w:r>
      <w:r w:rsidR="004579E1">
        <w:t>s</w:t>
      </w:r>
      <w:r w:rsidR="004579E1" w:rsidRPr="004579E1">
        <w:t xml:space="preserve"> für die </w:t>
      </w:r>
      <w:r w:rsidR="004579E1">
        <w:t>„</w:t>
      </w:r>
      <w:r w:rsidR="004579E1" w:rsidRPr="004579E1">
        <w:t>Fabrik der Zukunft</w:t>
      </w:r>
      <w:r w:rsidR="004579E1">
        <w:t xml:space="preserve">“ in </w:t>
      </w:r>
      <w:r w:rsidR="004579E1" w:rsidRPr="004579E1">
        <w:t xml:space="preserve">Roth </w:t>
      </w:r>
      <w:r w:rsidR="004579E1">
        <w:t>investiert.</w:t>
      </w:r>
    </w:p>
    <w:p w14:paraId="090B4927" w14:textId="77777777" w:rsidR="00AF0CA5" w:rsidRPr="005258BF" w:rsidRDefault="00AF0CA5" w:rsidP="00AF0CA5">
      <w:pPr>
        <w:pStyle w:val="MMZwischenberschrift"/>
      </w:pPr>
      <w:r w:rsidRPr="005258BF">
        <w:t xml:space="preserve">Finanzlage: </w:t>
      </w:r>
      <w:r>
        <w:t>Eigenkapitalquote weiter auf hohem Niveau</w:t>
      </w:r>
    </w:p>
    <w:p w14:paraId="11021FDB" w14:textId="77903E94" w:rsidR="00EE209D" w:rsidRPr="00EE209D" w:rsidRDefault="004579E1" w:rsidP="006E5E89">
      <w:pPr>
        <w:pStyle w:val="MMFlietext"/>
      </w:pPr>
      <w:r>
        <w:t xml:space="preserve">Die Finanz- und Vermögenslage von Leoni stelle sich 2015 weiterhin </w:t>
      </w:r>
      <w:r w:rsidR="00AF0CA5">
        <w:t>solide dar. D</w:t>
      </w:r>
      <w:r w:rsidR="00AF0CA5" w:rsidRPr="005258BF">
        <w:t xml:space="preserve">as Eigenkapital </w:t>
      </w:r>
      <w:r w:rsidR="00AF0CA5">
        <w:t xml:space="preserve">legte zum Jahresende um etwa </w:t>
      </w:r>
      <w:r>
        <w:t>9</w:t>
      </w:r>
      <w:r w:rsidR="00AF0CA5">
        <w:t xml:space="preserve"> Prozent auf </w:t>
      </w:r>
      <w:r w:rsidR="000D3FBB">
        <w:t xml:space="preserve">996 Mio. Euro (Vorjahr: </w:t>
      </w:r>
      <w:r w:rsidR="00AF0CA5">
        <w:t>918 Mio. Euro</w:t>
      </w:r>
      <w:r w:rsidR="000D3FBB">
        <w:t xml:space="preserve">) zu; die </w:t>
      </w:r>
      <w:r w:rsidR="00AF0CA5" w:rsidRPr="005258BF">
        <w:t xml:space="preserve">Eigenkapitalquote </w:t>
      </w:r>
      <w:r w:rsidR="000D3FBB">
        <w:t xml:space="preserve">erhöhte </w:t>
      </w:r>
      <w:r w:rsidR="00AF0CA5">
        <w:t xml:space="preserve">sich zum Stichtag </w:t>
      </w:r>
      <w:r w:rsidR="000D3FBB">
        <w:t xml:space="preserve">auf 35,1 Prozent (Vorjahr: </w:t>
      </w:r>
      <w:r w:rsidR="00AF0CA5">
        <w:t>34,4 Prozent</w:t>
      </w:r>
      <w:r w:rsidR="000D3FBB">
        <w:t xml:space="preserve">). </w:t>
      </w:r>
      <w:r w:rsidR="00AF0CA5" w:rsidRPr="005258BF">
        <w:t>De</w:t>
      </w:r>
      <w:r w:rsidR="000D3FBB">
        <w:t>n</w:t>
      </w:r>
      <w:r w:rsidR="00AF0CA5" w:rsidRPr="005258BF">
        <w:t xml:space="preserve"> Verschuldungsgrad (</w:t>
      </w:r>
      <w:proofErr w:type="spellStart"/>
      <w:r w:rsidR="00AF0CA5" w:rsidRPr="005258BF">
        <w:t>Gearing</w:t>
      </w:r>
      <w:proofErr w:type="spellEnd"/>
      <w:r w:rsidR="00AF0CA5" w:rsidRPr="005258BF">
        <w:t xml:space="preserve">) </w:t>
      </w:r>
      <w:r w:rsidR="000D3FBB">
        <w:t xml:space="preserve">konnte Leoni von </w:t>
      </w:r>
      <w:r w:rsidR="00AF0CA5">
        <w:t xml:space="preserve">34 </w:t>
      </w:r>
      <w:r w:rsidR="000D3FBB">
        <w:t xml:space="preserve">auf 32 Prozent senken. </w:t>
      </w:r>
    </w:p>
    <w:p w14:paraId="15BF5B9F" w14:textId="77777777" w:rsidR="00D56B16" w:rsidRDefault="00D56B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98CE15D" w14:textId="41A5EE9A" w:rsidR="00852108" w:rsidRDefault="00852108" w:rsidP="00852108">
      <w:pPr>
        <w:tabs>
          <w:tab w:val="left" w:pos="8505"/>
        </w:tabs>
        <w:spacing w:line="360" w:lineRule="auto"/>
        <w:ind w:right="19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Prognose</w:t>
      </w:r>
      <w:r w:rsidRPr="00852108">
        <w:rPr>
          <w:rFonts w:ascii="Arial" w:hAnsi="Arial" w:cs="Arial"/>
          <w:b/>
          <w:sz w:val="22"/>
          <w:szCs w:val="22"/>
        </w:rPr>
        <w:t xml:space="preserve">: </w:t>
      </w:r>
      <w:r w:rsidR="00A20DB3">
        <w:rPr>
          <w:rFonts w:ascii="Arial" w:hAnsi="Arial" w:cs="Arial"/>
          <w:b/>
          <w:sz w:val="22"/>
          <w:szCs w:val="22"/>
        </w:rPr>
        <w:t xml:space="preserve">EBIT </w:t>
      </w:r>
      <w:r w:rsidR="0047104C">
        <w:rPr>
          <w:rFonts w:ascii="Arial" w:hAnsi="Arial" w:cs="Arial"/>
          <w:b/>
          <w:sz w:val="22"/>
          <w:szCs w:val="22"/>
        </w:rPr>
        <w:t>2016</w:t>
      </w:r>
      <w:r w:rsidR="00A20DB3">
        <w:rPr>
          <w:rFonts w:ascii="Arial" w:hAnsi="Arial" w:cs="Arial"/>
          <w:b/>
          <w:sz w:val="22"/>
          <w:szCs w:val="22"/>
        </w:rPr>
        <w:t xml:space="preserve"> durch Restrukturierung belastet</w:t>
      </w:r>
      <w:r w:rsidR="006E5F12">
        <w:rPr>
          <w:rFonts w:ascii="Arial" w:hAnsi="Arial" w:cs="Arial"/>
          <w:b/>
          <w:sz w:val="22"/>
          <w:szCs w:val="22"/>
        </w:rPr>
        <w:t xml:space="preserve"> </w:t>
      </w:r>
    </w:p>
    <w:p w14:paraId="4CAE673B" w14:textId="58BF143F" w:rsidR="00014943" w:rsidRDefault="0047104C" w:rsidP="00665661">
      <w:pPr>
        <w:pStyle w:val="MMFlietext"/>
      </w:pPr>
      <w:r>
        <w:t xml:space="preserve">Für das </w:t>
      </w:r>
      <w:r w:rsidR="005F46FD">
        <w:t>laufende Jahr</w:t>
      </w:r>
      <w:r w:rsidRPr="00EA772C">
        <w:t xml:space="preserve"> erwartet </w:t>
      </w:r>
      <w:r w:rsidR="006E5E89">
        <w:t xml:space="preserve">Leoni </w:t>
      </w:r>
      <w:r>
        <w:t>wegen</w:t>
      </w:r>
      <w:r w:rsidRPr="00EA772C">
        <w:t xml:space="preserve"> </w:t>
      </w:r>
      <w:r w:rsidR="006E5E89">
        <w:t xml:space="preserve">der leicht </w:t>
      </w:r>
      <w:r>
        <w:t>nachlassende</w:t>
      </w:r>
      <w:r w:rsidR="00C663CB">
        <w:t>n</w:t>
      </w:r>
      <w:r>
        <w:t xml:space="preserve"> Konjunktur</w:t>
      </w:r>
      <w:r w:rsidR="006E5E89">
        <w:t xml:space="preserve"> in für das Unternehmen relevanten Märkten</w:t>
      </w:r>
      <w:r>
        <w:t>, gesunkener Metallpreise und de</w:t>
      </w:r>
      <w:r w:rsidR="006E5E89">
        <w:t>r</w:t>
      </w:r>
      <w:r>
        <w:t xml:space="preserve"> </w:t>
      </w:r>
      <w:r w:rsidR="006E5E89">
        <w:t xml:space="preserve">nicht mehr konsolidierten Einnahmen des </w:t>
      </w:r>
      <w:r>
        <w:t>chinesischen Joint Ventures</w:t>
      </w:r>
      <w:r w:rsidRPr="00EA772C">
        <w:t xml:space="preserve"> </w:t>
      </w:r>
      <w:r>
        <w:t xml:space="preserve">einen </w:t>
      </w:r>
      <w:r w:rsidR="006E5E89">
        <w:t xml:space="preserve">leicht rückläufigen </w:t>
      </w:r>
      <w:r>
        <w:t xml:space="preserve">Umsatz von 4,4 Mrd. Euro. </w:t>
      </w:r>
      <w:r w:rsidR="006E5E89">
        <w:t xml:space="preserve">Neben fehlenden Deckungsbeiträgen werden </w:t>
      </w:r>
      <w:r w:rsidR="0002074B">
        <w:t xml:space="preserve">2016 </w:t>
      </w:r>
      <w:r w:rsidR="006E5E89">
        <w:t>auch die k</w:t>
      </w:r>
      <w:r>
        <w:t>ritische</w:t>
      </w:r>
      <w:r w:rsidR="006E5E89">
        <w:t>n</w:t>
      </w:r>
      <w:r>
        <w:t xml:space="preserve"> Bordnetzprojekte</w:t>
      </w:r>
      <w:r w:rsidR="006E5E89">
        <w:t>, die</w:t>
      </w:r>
      <w:r>
        <w:t xml:space="preserve"> </w:t>
      </w:r>
      <w:r w:rsidR="006E5E89">
        <w:t>trotz der eingeleitet</w:t>
      </w:r>
      <w:r w:rsidR="00314F40">
        <w:t>en</w:t>
      </w:r>
      <w:r w:rsidR="006E5E89">
        <w:t xml:space="preserve"> Maßnahmen nicht die ursprünglich erwartete Rendite liefern, das Ergebnis belasten</w:t>
      </w:r>
      <w:r w:rsidR="00314F40">
        <w:t>.</w:t>
      </w:r>
      <w:r w:rsidR="006E5E89">
        <w:t xml:space="preserve"> Hinzu kommen </w:t>
      </w:r>
      <w:r w:rsidR="0002074B">
        <w:t xml:space="preserve">die </w:t>
      </w:r>
      <w:r w:rsidR="006E5E89">
        <w:t xml:space="preserve">Restrukturierungs- und Sonderaufwendungen. </w:t>
      </w:r>
      <w:r w:rsidR="00FB10D4">
        <w:t xml:space="preserve">Leoni rechnet </w:t>
      </w:r>
      <w:r w:rsidR="0002074B">
        <w:t>deswegen</w:t>
      </w:r>
      <w:r>
        <w:t xml:space="preserve"> mit einem EBIT von </w:t>
      </w:r>
      <w:r w:rsidRPr="00EA772C">
        <w:t>105 Mio. Euro</w:t>
      </w:r>
      <w:r w:rsidR="0002074B">
        <w:t xml:space="preserve">. Das Unternehmen hat das </w:t>
      </w:r>
      <w:r w:rsidR="005F46FD">
        <w:t xml:space="preserve">Investitionsvolumen </w:t>
      </w:r>
      <w:r w:rsidR="000651EC">
        <w:t xml:space="preserve">im Vergleich zum Vorjahr leicht </w:t>
      </w:r>
      <w:r w:rsidR="005F46FD">
        <w:t xml:space="preserve">auf 230 Mio. Euro </w:t>
      </w:r>
      <w:r w:rsidR="0002074B">
        <w:t>ge</w:t>
      </w:r>
      <w:r w:rsidR="005F46FD">
        <w:t>senk</w:t>
      </w:r>
      <w:r w:rsidR="0002074B">
        <w:t>t</w:t>
      </w:r>
      <w:r w:rsidR="005F46FD">
        <w:t xml:space="preserve">. </w:t>
      </w:r>
    </w:p>
    <w:p w14:paraId="51A5A2BB" w14:textId="35788C1B" w:rsidR="00E01A4E" w:rsidRDefault="00014943" w:rsidP="006678E0">
      <w:pPr>
        <w:pStyle w:val="MMFlietext"/>
      </w:pPr>
      <w:r>
        <w:t xml:space="preserve">Grundsätzlich steht das Geschäftsjahr </w:t>
      </w:r>
      <w:r w:rsidRPr="0002074B">
        <w:t>2016 im Zeichen der Effizienz</w:t>
      </w:r>
      <w:r w:rsidR="00A20DB3">
        <w:t>verbesserung</w:t>
      </w:r>
      <w:r w:rsidRPr="0002074B">
        <w:t xml:space="preserve">, um </w:t>
      </w:r>
      <w:r w:rsidR="000651EC">
        <w:t xml:space="preserve">wieder </w:t>
      </w:r>
      <w:r w:rsidRPr="0002074B">
        <w:t>auf einen ertragsorientierten Wachstumspfad zurückzukehren</w:t>
      </w:r>
      <w:r>
        <w:t xml:space="preserve">. Das Unternehmen bewegt sich </w:t>
      </w:r>
      <w:r w:rsidRPr="0002074B">
        <w:t>weiterhin in einem sehr attraktiven Umfeld und verfüg</w:t>
      </w:r>
      <w:r>
        <w:t>t</w:t>
      </w:r>
      <w:r w:rsidRPr="0002074B">
        <w:t xml:space="preserve"> in beiden Bereichen über eine</w:t>
      </w:r>
      <w:r w:rsidR="00314F40">
        <w:t>n</w:t>
      </w:r>
      <w:r w:rsidRPr="0002074B">
        <w:t xml:space="preserve"> </w:t>
      </w:r>
      <w:r w:rsidR="00A20DB3">
        <w:t xml:space="preserve">hohen </w:t>
      </w:r>
      <w:r w:rsidR="00314F40">
        <w:t>Auftragsbestand</w:t>
      </w:r>
      <w:r w:rsidRPr="0002074B">
        <w:t xml:space="preserve">. </w:t>
      </w:r>
      <w:r>
        <w:t>Eine Weiterentwicklung der Strukturen und Marktaktivitäten wird die positive Entwicklung unterstützen</w:t>
      </w:r>
      <w:r w:rsidR="000C33D0">
        <w:t>.</w:t>
      </w:r>
      <w:r w:rsidR="00E01A4E" w:rsidRPr="00E01A4E">
        <w:t xml:space="preserve"> </w:t>
      </w:r>
    </w:p>
    <w:p w14:paraId="3EBB97C4" w14:textId="45DEF193" w:rsidR="00314F40" w:rsidRPr="00E01A4E" w:rsidRDefault="00E01A4E" w:rsidP="006678E0">
      <w:pPr>
        <w:pStyle w:val="MMFlietext"/>
        <w:rPr>
          <w:i/>
        </w:rPr>
      </w:pPr>
      <w:r w:rsidRPr="00E01A4E">
        <w:rPr>
          <w:i/>
        </w:rPr>
        <w:t>(</w:t>
      </w:r>
      <w:r w:rsidRPr="00D56B16">
        <w:rPr>
          <w:i/>
        </w:rPr>
        <w:t>7,</w:t>
      </w:r>
      <w:r w:rsidR="00D56B16" w:rsidRPr="00D56B16">
        <w:rPr>
          <w:i/>
        </w:rPr>
        <w:t>060</w:t>
      </w:r>
      <w:r w:rsidRPr="00E01A4E">
        <w:rPr>
          <w:i/>
        </w:rPr>
        <w:t xml:space="preserve"> Anschläge inkl. Leerzeichen)</w:t>
      </w:r>
    </w:p>
    <w:p w14:paraId="3DBA17CA" w14:textId="507DBA21" w:rsidR="00F4749E" w:rsidRDefault="00F4749E" w:rsidP="006678E0">
      <w:pPr>
        <w:pStyle w:val="MMKurzprofilberschrift"/>
      </w:pPr>
      <w:r w:rsidRPr="006678E0">
        <w:t>Leoni-Konzernzahlen im Überblick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1276"/>
        <w:gridCol w:w="1276"/>
      </w:tblGrid>
      <w:tr w:rsidR="006678E0" w:rsidRPr="00DF6351" w14:paraId="7349779F" w14:textId="77777777" w:rsidTr="005E2FE7">
        <w:tc>
          <w:tcPr>
            <w:tcW w:w="4077" w:type="dxa"/>
          </w:tcPr>
          <w:p w14:paraId="143C99AF" w14:textId="77777777" w:rsidR="006678E0" w:rsidRPr="00DF6351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F6351"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</w:tc>
        <w:tc>
          <w:tcPr>
            <w:tcW w:w="1276" w:type="dxa"/>
          </w:tcPr>
          <w:p w14:paraId="73E0917B" w14:textId="4E0FDEA9" w:rsidR="006678E0" w:rsidRPr="00BE78C2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78C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843B683" w14:textId="21BEA742" w:rsidR="006678E0" w:rsidRPr="00BE78C2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78C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67A778F" w14:textId="77777777" w:rsidR="006678E0" w:rsidRPr="00BE78C2" w:rsidRDefault="006678E0" w:rsidP="005E2FE7">
            <w:pPr>
              <w:tabs>
                <w:tab w:val="left" w:pos="8505"/>
              </w:tabs>
              <w:ind w:left="-13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BE78C2">
              <w:rPr>
                <w:rFonts w:ascii="Arial" w:hAnsi="Arial" w:cs="Arial"/>
                <w:b/>
                <w:sz w:val="18"/>
                <w:szCs w:val="18"/>
              </w:rPr>
              <w:t>Veränderung</w:t>
            </w:r>
          </w:p>
        </w:tc>
      </w:tr>
      <w:tr w:rsidR="006678E0" w:rsidRPr="00DF6351" w14:paraId="2389C128" w14:textId="77777777" w:rsidTr="005E2FE7">
        <w:trPr>
          <w:trHeight w:val="284"/>
        </w:trPr>
        <w:tc>
          <w:tcPr>
            <w:tcW w:w="4077" w:type="dxa"/>
            <w:vAlign w:val="center"/>
          </w:tcPr>
          <w:p w14:paraId="647F0453" w14:textId="77777777" w:rsidR="006678E0" w:rsidRPr="00DF6351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F6351">
              <w:rPr>
                <w:rFonts w:ascii="Arial" w:hAnsi="Arial" w:cs="Arial"/>
                <w:sz w:val="18"/>
                <w:szCs w:val="18"/>
              </w:rPr>
              <w:t>msatz</w:t>
            </w:r>
            <w:r>
              <w:rPr>
                <w:rFonts w:ascii="Arial" w:hAnsi="Arial" w:cs="Arial"/>
                <w:sz w:val="18"/>
                <w:szCs w:val="18"/>
              </w:rPr>
              <w:t>erlöse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77D5BDD7" w14:textId="06882268" w:rsidR="006678E0" w:rsidRPr="007D4BEC" w:rsidRDefault="006678E0" w:rsidP="00BC62DE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4.</w:t>
            </w:r>
            <w:r w:rsidR="00BC62DE">
              <w:rPr>
                <w:rFonts w:ascii="Arial" w:hAnsi="Arial" w:cs="Arial"/>
                <w:sz w:val="18"/>
                <w:szCs w:val="18"/>
              </w:rPr>
              <w:t>502</w:t>
            </w:r>
            <w:r w:rsidRPr="007D4BEC">
              <w:rPr>
                <w:rFonts w:ascii="Arial" w:hAnsi="Arial" w:cs="Arial"/>
                <w:sz w:val="18"/>
                <w:szCs w:val="18"/>
              </w:rPr>
              <w:t>,</w:t>
            </w:r>
            <w:r w:rsidR="00BC62D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4D719A19" w14:textId="2A234C32" w:rsidR="006678E0" w:rsidRPr="007D4BEC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4.103,4</w:t>
            </w:r>
          </w:p>
        </w:tc>
        <w:tc>
          <w:tcPr>
            <w:tcW w:w="1276" w:type="dxa"/>
            <w:vAlign w:val="center"/>
          </w:tcPr>
          <w:p w14:paraId="13E06B86" w14:textId="4595FB20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D4BEC">
              <w:rPr>
                <w:rFonts w:ascii="Arial" w:hAnsi="Arial" w:cs="Arial"/>
                <w:sz w:val="18"/>
                <w:szCs w:val="18"/>
              </w:rPr>
              <w:t>,7 %</w:t>
            </w:r>
          </w:p>
        </w:tc>
      </w:tr>
      <w:tr w:rsidR="006678E0" w:rsidRPr="00DF6351" w14:paraId="4259C592" w14:textId="77777777" w:rsidTr="005E2FE7">
        <w:trPr>
          <w:trHeight w:val="284"/>
        </w:trPr>
        <w:tc>
          <w:tcPr>
            <w:tcW w:w="4077" w:type="dxa"/>
            <w:vAlign w:val="center"/>
          </w:tcPr>
          <w:p w14:paraId="76C3EE53" w14:textId="77777777" w:rsidR="006678E0" w:rsidRPr="00DF6351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EBIT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559ADB57" w14:textId="255E638C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51,3</w:t>
            </w:r>
          </w:p>
        </w:tc>
        <w:tc>
          <w:tcPr>
            <w:tcW w:w="1276" w:type="dxa"/>
            <w:vAlign w:val="center"/>
          </w:tcPr>
          <w:p w14:paraId="7915D821" w14:textId="272EDD00" w:rsidR="006678E0" w:rsidRPr="007D4BEC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182,5</w:t>
            </w:r>
          </w:p>
        </w:tc>
        <w:tc>
          <w:tcPr>
            <w:tcW w:w="1276" w:type="dxa"/>
            <w:vAlign w:val="center"/>
          </w:tcPr>
          <w:p w14:paraId="3AFACB65" w14:textId="085EAA32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-17,1</w:t>
            </w:r>
            <w:r w:rsidRPr="007D4BE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6678E0" w:rsidRPr="00DF6351" w14:paraId="141D7760" w14:textId="77777777" w:rsidTr="005E2FE7">
        <w:trPr>
          <w:trHeight w:val="284"/>
        </w:trPr>
        <w:tc>
          <w:tcPr>
            <w:tcW w:w="4077" w:type="dxa"/>
            <w:vAlign w:val="center"/>
          </w:tcPr>
          <w:p w14:paraId="08FD50C1" w14:textId="77777777" w:rsidR="006678E0" w:rsidRPr="009D7F99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9D7F99">
              <w:rPr>
                <w:rFonts w:ascii="Arial" w:hAnsi="Arial" w:cs="Arial"/>
                <w:sz w:val="18"/>
                <w:szCs w:val="18"/>
              </w:rPr>
              <w:t xml:space="preserve">Bereinigtes EBIT </w:t>
            </w:r>
            <w:r w:rsidRPr="009D7F99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9D7F99">
              <w:rPr>
                <w:rFonts w:ascii="Arial" w:hAnsi="Arial" w:cs="Arial"/>
                <w:sz w:val="18"/>
                <w:szCs w:val="18"/>
              </w:rPr>
              <w:t xml:space="preserve"> [in Mio. €]</w:t>
            </w:r>
          </w:p>
        </w:tc>
        <w:tc>
          <w:tcPr>
            <w:tcW w:w="1276" w:type="dxa"/>
            <w:vAlign w:val="center"/>
          </w:tcPr>
          <w:p w14:paraId="790FA000" w14:textId="27BFA62F" w:rsidR="006678E0" w:rsidRPr="009D7F99" w:rsidRDefault="006678E0" w:rsidP="00BC62DE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9D7F99">
              <w:rPr>
                <w:rFonts w:ascii="Arial" w:hAnsi="Arial" w:cs="Arial"/>
                <w:sz w:val="18"/>
                <w:szCs w:val="18"/>
              </w:rPr>
              <w:t>146,9</w:t>
            </w:r>
          </w:p>
        </w:tc>
        <w:tc>
          <w:tcPr>
            <w:tcW w:w="1276" w:type="dxa"/>
            <w:vAlign w:val="center"/>
          </w:tcPr>
          <w:p w14:paraId="72B107BD" w14:textId="4BE123BD" w:rsidR="006678E0" w:rsidRPr="009D7F99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9D7F99">
              <w:rPr>
                <w:rFonts w:ascii="Arial" w:hAnsi="Arial" w:cs="Arial"/>
                <w:sz w:val="18"/>
                <w:szCs w:val="18"/>
              </w:rPr>
              <w:t>192,7</w:t>
            </w:r>
          </w:p>
        </w:tc>
        <w:tc>
          <w:tcPr>
            <w:tcW w:w="1276" w:type="dxa"/>
            <w:vAlign w:val="center"/>
          </w:tcPr>
          <w:p w14:paraId="533ADC2C" w14:textId="06FFDCD5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9D7F99">
              <w:rPr>
                <w:rFonts w:ascii="Arial" w:hAnsi="Arial" w:cs="Arial"/>
                <w:sz w:val="18"/>
                <w:szCs w:val="18"/>
              </w:rPr>
              <w:t>-23,8 %</w:t>
            </w:r>
          </w:p>
        </w:tc>
      </w:tr>
      <w:tr w:rsidR="006678E0" w:rsidRPr="00DF6351" w14:paraId="5613E471" w14:textId="77777777" w:rsidTr="005E2FE7">
        <w:trPr>
          <w:trHeight w:val="284"/>
        </w:trPr>
        <w:tc>
          <w:tcPr>
            <w:tcW w:w="4077" w:type="dxa"/>
            <w:vAlign w:val="center"/>
          </w:tcPr>
          <w:p w14:paraId="49796D39" w14:textId="77777777" w:rsidR="006678E0" w:rsidRPr="00DF6351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EBIT</w:t>
            </w:r>
            <w:r>
              <w:rPr>
                <w:rFonts w:ascii="Arial" w:hAnsi="Arial" w:cs="Arial"/>
                <w:sz w:val="18"/>
                <w:szCs w:val="18"/>
              </w:rPr>
              <w:t>-Marge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[in %]</w:t>
            </w:r>
          </w:p>
        </w:tc>
        <w:tc>
          <w:tcPr>
            <w:tcW w:w="1276" w:type="dxa"/>
            <w:vAlign w:val="center"/>
          </w:tcPr>
          <w:p w14:paraId="52600B42" w14:textId="226042A5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D4BEC">
              <w:rPr>
                <w:rFonts w:ascii="Arial" w:hAnsi="Arial" w:cs="Arial"/>
                <w:sz w:val="18"/>
                <w:szCs w:val="18"/>
              </w:rPr>
              <w:t>,4</w:t>
            </w:r>
          </w:p>
        </w:tc>
        <w:tc>
          <w:tcPr>
            <w:tcW w:w="1276" w:type="dxa"/>
            <w:vAlign w:val="center"/>
          </w:tcPr>
          <w:p w14:paraId="1127B43F" w14:textId="1724E23A" w:rsidR="006678E0" w:rsidRPr="007D4BEC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1276" w:type="dxa"/>
            <w:vAlign w:val="center"/>
          </w:tcPr>
          <w:p w14:paraId="1D2CADCA" w14:textId="77777777" w:rsidR="006678E0" w:rsidRPr="007D4BEC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6678E0" w:rsidRPr="008920B0" w14:paraId="3E6B9E8D" w14:textId="77777777" w:rsidTr="005E2FE7">
        <w:trPr>
          <w:trHeight w:val="284"/>
        </w:trPr>
        <w:tc>
          <w:tcPr>
            <w:tcW w:w="4077" w:type="dxa"/>
            <w:vAlign w:val="center"/>
          </w:tcPr>
          <w:p w14:paraId="542F9685" w14:textId="77777777" w:rsidR="006678E0" w:rsidRPr="00DF6351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Konzern</w:t>
            </w:r>
            <w:r w:rsidRPr="00DF6351">
              <w:rPr>
                <w:rFonts w:ascii="Arial" w:hAnsi="Arial" w:cs="Arial"/>
                <w:sz w:val="18"/>
                <w:szCs w:val="18"/>
              </w:rPr>
              <w:t>überschuss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351">
              <w:rPr>
                <w:rFonts w:ascii="Arial" w:hAnsi="Arial" w:cs="Arial"/>
                <w:sz w:val="18"/>
                <w:szCs w:val="18"/>
              </w:rPr>
              <w:t>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40AE537E" w14:textId="7BE1B44B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77,3</w:t>
            </w:r>
          </w:p>
        </w:tc>
        <w:tc>
          <w:tcPr>
            <w:tcW w:w="1276" w:type="dxa"/>
            <w:vAlign w:val="center"/>
          </w:tcPr>
          <w:p w14:paraId="53511E22" w14:textId="7D07995E" w:rsidR="006678E0" w:rsidRPr="007D4BEC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  <w:tc>
          <w:tcPr>
            <w:tcW w:w="1276" w:type="dxa"/>
            <w:vAlign w:val="center"/>
          </w:tcPr>
          <w:p w14:paraId="1542CAD2" w14:textId="39509328" w:rsidR="006678E0" w:rsidRPr="007D4BEC" w:rsidRDefault="00C56EEB" w:rsidP="00C56EEB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="006678E0">
              <w:rPr>
                <w:rFonts w:ascii="Arial" w:hAnsi="Arial" w:cs="Arial"/>
                <w:sz w:val="18"/>
                <w:szCs w:val="18"/>
                <w:lang w:val="en-GB"/>
              </w:rPr>
              <w:t>32,8</w:t>
            </w:r>
            <w:r w:rsidR="006678E0" w:rsidRPr="007D4BEC">
              <w:rPr>
                <w:rFonts w:ascii="Arial" w:hAnsi="Arial" w:cs="Arial"/>
                <w:sz w:val="18"/>
                <w:szCs w:val="18"/>
                <w:lang w:val="en-GB"/>
              </w:rPr>
              <w:t xml:space="preserve"> %</w:t>
            </w:r>
          </w:p>
        </w:tc>
      </w:tr>
      <w:tr w:rsidR="006678E0" w:rsidRPr="00DF6351" w14:paraId="1BBCAE81" w14:textId="77777777" w:rsidTr="005E2FE7">
        <w:trPr>
          <w:trHeight w:val="284"/>
        </w:trPr>
        <w:tc>
          <w:tcPr>
            <w:tcW w:w="4077" w:type="dxa"/>
            <w:vAlign w:val="center"/>
          </w:tcPr>
          <w:p w14:paraId="41AE4CE8" w14:textId="77777777" w:rsidR="006678E0" w:rsidRPr="00DF6351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Free Cashflow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2C0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(2) </w:t>
            </w:r>
            <w:r w:rsidRPr="00DF6351">
              <w:rPr>
                <w:rFonts w:ascii="Arial" w:hAnsi="Arial" w:cs="Arial"/>
                <w:sz w:val="18"/>
                <w:szCs w:val="18"/>
              </w:rPr>
              <w:t>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56C93746" w14:textId="04C0DEC9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12,1</w:t>
            </w:r>
          </w:p>
        </w:tc>
        <w:tc>
          <w:tcPr>
            <w:tcW w:w="1276" w:type="dxa"/>
            <w:vAlign w:val="center"/>
          </w:tcPr>
          <w:p w14:paraId="4A5E8158" w14:textId="2793A43C" w:rsidR="006678E0" w:rsidRPr="007D4BEC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-37,9</w:t>
            </w:r>
          </w:p>
        </w:tc>
        <w:tc>
          <w:tcPr>
            <w:tcW w:w="1276" w:type="dxa"/>
            <w:vAlign w:val="center"/>
          </w:tcPr>
          <w:p w14:paraId="23695A5F" w14:textId="0C65F8F2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+68,1</w:t>
            </w:r>
            <w:r w:rsidRPr="007D4BE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6678E0" w:rsidRPr="00DF6351" w14:paraId="1C40E474" w14:textId="77777777" w:rsidTr="005E2FE7">
        <w:trPr>
          <w:trHeight w:val="284"/>
        </w:trPr>
        <w:tc>
          <w:tcPr>
            <w:tcW w:w="4077" w:type="dxa"/>
            <w:vAlign w:val="center"/>
          </w:tcPr>
          <w:p w14:paraId="307F515F" w14:textId="77777777" w:rsidR="006678E0" w:rsidRPr="00DF6351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456EE">
              <w:rPr>
                <w:rFonts w:ascii="Arial" w:hAnsi="Arial" w:cs="Arial"/>
                <w:sz w:val="18"/>
                <w:szCs w:val="18"/>
                <w:lang w:val="en-US"/>
              </w:rPr>
              <w:t>Return on Cap</w:t>
            </w:r>
            <w:proofErr w:type="spellStart"/>
            <w:r w:rsidRPr="00DF6351">
              <w:rPr>
                <w:rFonts w:ascii="Arial" w:hAnsi="Arial" w:cs="Arial"/>
                <w:sz w:val="18"/>
                <w:szCs w:val="18"/>
                <w:lang w:val="en-GB"/>
              </w:rPr>
              <w:t>ital</w:t>
            </w:r>
            <w:proofErr w:type="spellEnd"/>
            <w:r w:rsidRPr="00DF6351">
              <w:rPr>
                <w:rFonts w:ascii="Arial" w:hAnsi="Arial" w:cs="Arial"/>
                <w:sz w:val="18"/>
                <w:szCs w:val="18"/>
                <w:lang w:val="en-GB"/>
              </w:rPr>
              <w:t xml:space="preserve"> Employed [in %]</w:t>
            </w:r>
          </w:p>
        </w:tc>
        <w:tc>
          <w:tcPr>
            <w:tcW w:w="1276" w:type="dxa"/>
            <w:vAlign w:val="center"/>
          </w:tcPr>
          <w:p w14:paraId="1F61806E" w14:textId="10603BFC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14:paraId="38B80CC3" w14:textId="661059A7" w:rsidR="006678E0" w:rsidRPr="007D4BEC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13,7</w:t>
            </w:r>
          </w:p>
        </w:tc>
        <w:tc>
          <w:tcPr>
            <w:tcW w:w="1276" w:type="dxa"/>
            <w:vAlign w:val="center"/>
          </w:tcPr>
          <w:p w14:paraId="6CC9FECD" w14:textId="77777777" w:rsidR="006678E0" w:rsidRPr="007D4BEC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--</w:t>
            </w:r>
          </w:p>
        </w:tc>
      </w:tr>
      <w:tr w:rsidR="006678E0" w:rsidRPr="00DF6351" w14:paraId="53AF616D" w14:textId="77777777" w:rsidTr="005E2FE7">
        <w:trPr>
          <w:trHeight w:val="284"/>
        </w:trPr>
        <w:tc>
          <w:tcPr>
            <w:tcW w:w="4077" w:type="dxa"/>
            <w:vAlign w:val="center"/>
          </w:tcPr>
          <w:p w14:paraId="0088F1DD" w14:textId="77777777" w:rsidR="006678E0" w:rsidRPr="00DF6351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Investitionen in Sachanlagen und immaterielle Vermögenswerte [in Mio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F6351">
              <w:rPr>
                <w:rFonts w:ascii="Arial" w:hAnsi="Arial" w:cs="Arial"/>
                <w:sz w:val="18"/>
                <w:szCs w:val="18"/>
              </w:rPr>
              <w:t xml:space="preserve"> €]</w:t>
            </w:r>
          </w:p>
        </w:tc>
        <w:tc>
          <w:tcPr>
            <w:tcW w:w="1276" w:type="dxa"/>
            <w:vAlign w:val="center"/>
          </w:tcPr>
          <w:p w14:paraId="20B355D9" w14:textId="6935BE7E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1276" w:type="dxa"/>
            <w:vAlign w:val="center"/>
          </w:tcPr>
          <w:p w14:paraId="12D55947" w14:textId="1C4C3CED" w:rsidR="006678E0" w:rsidRPr="007D4BEC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215,8</w:t>
            </w:r>
          </w:p>
        </w:tc>
        <w:tc>
          <w:tcPr>
            <w:tcW w:w="1276" w:type="dxa"/>
            <w:vAlign w:val="center"/>
          </w:tcPr>
          <w:p w14:paraId="2F61BD7E" w14:textId="15E40901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14,7</w:t>
            </w:r>
            <w:r w:rsidRPr="007D4BE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6678E0" w:rsidRPr="00DF6351" w14:paraId="21017302" w14:textId="77777777" w:rsidTr="005E2FE7">
        <w:trPr>
          <w:trHeight w:val="284"/>
        </w:trPr>
        <w:tc>
          <w:tcPr>
            <w:tcW w:w="4077" w:type="dxa"/>
            <w:vAlign w:val="center"/>
          </w:tcPr>
          <w:p w14:paraId="0A398235" w14:textId="77777777" w:rsidR="006678E0" w:rsidRPr="00DF6351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DF6351">
              <w:rPr>
                <w:rFonts w:ascii="Arial" w:hAnsi="Arial" w:cs="Arial"/>
                <w:sz w:val="18"/>
                <w:szCs w:val="18"/>
              </w:rPr>
              <w:t>Mitarbeiter (per 31.12.)</w:t>
            </w:r>
          </w:p>
        </w:tc>
        <w:tc>
          <w:tcPr>
            <w:tcW w:w="1276" w:type="dxa"/>
            <w:vAlign w:val="center"/>
          </w:tcPr>
          <w:p w14:paraId="5B44E0D4" w14:textId="59DEEC0D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Pr="007D4BE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1276" w:type="dxa"/>
            <w:vAlign w:val="center"/>
          </w:tcPr>
          <w:p w14:paraId="1E09B55A" w14:textId="33CA2119" w:rsidR="006678E0" w:rsidRPr="007D4BEC" w:rsidRDefault="006678E0" w:rsidP="005E2FE7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67.988</w:t>
            </w:r>
          </w:p>
        </w:tc>
        <w:tc>
          <w:tcPr>
            <w:tcW w:w="1276" w:type="dxa"/>
            <w:vAlign w:val="center"/>
          </w:tcPr>
          <w:p w14:paraId="3B9011A3" w14:textId="01DC050E" w:rsidR="006678E0" w:rsidRPr="007D4BEC" w:rsidRDefault="006678E0" w:rsidP="006678E0">
            <w:pPr>
              <w:tabs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D4BEC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8,9</w:t>
            </w:r>
            <w:r w:rsidRPr="007D4BE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</w:tbl>
    <w:p w14:paraId="4FA5D091" w14:textId="77777777" w:rsidR="006678E0" w:rsidRDefault="006678E0" w:rsidP="006678E0">
      <w:pPr>
        <w:autoSpaceDE w:val="0"/>
        <w:autoSpaceDN w:val="0"/>
        <w:adjustRightInd w:val="0"/>
        <w:ind w:left="360" w:right="1854"/>
        <w:rPr>
          <w:rFonts w:ascii="Arial" w:hAnsi="Arial" w:cs="Arial"/>
          <w:i/>
          <w:sz w:val="16"/>
          <w:szCs w:val="16"/>
        </w:rPr>
      </w:pPr>
    </w:p>
    <w:p w14:paraId="273F3766" w14:textId="77777777" w:rsidR="006678E0" w:rsidRDefault="006678E0" w:rsidP="006678E0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right="1711" w:hanging="284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i/>
          <w:sz w:val="16"/>
          <w:szCs w:val="16"/>
        </w:rPr>
        <w:t>Ergebnis bereinigt um die Effekte aus der Neubewertung im Rahmen der Kaufpreisverteilung wesentlicher Akquisitionen, Restrukturierungen, Wertminderungen langfristiger Vermögenswerte, Gewinne aus Unter</w:t>
      </w:r>
      <w:r>
        <w:rPr>
          <w:rFonts w:ascii="Arial" w:hAnsi="Arial" w:cs="Arial"/>
          <w:i/>
          <w:sz w:val="16"/>
          <w:szCs w:val="16"/>
        </w:rPr>
        <w:t>-</w:t>
      </w:r>
      <w:proofErr w:type="spellStart"/>
      <w:r w:rsidRPr="0089546A">
        <w:rPr>
          <w:rFonts w:ascii="Arial" w:hAnsi="Arial" w:cs="Arial"/>
          <w:i/>
          <w:sz w:val="16"/>
          <w:szCs w:val="16"/>
        </w:rPr>
        <w:t>nehmensverkäufen</w:t>
      </w:r>
      <w:proofErr w:type="spellEnd"/>
      <w:r w:rsidRPr="0089546A">
        <w:rPr>
          <w:rFonts w:ascii="Arial" w:hAnsi="Arial" w:cs="Arial"/>
          <w:i/>
          <w:sz w:val="16"/>
          <w:szCs w:val="16"/>
        </w:rPr>
        <w:t xml:space="preserve"> und Ergebnisse aus Unternehmenszusammenschlüssen inklusive zugehöriger Derivate</w:t>
      </w:r>
    </w:p>
    <w:p w14:paraId="3F3D0D09" w14:textId="70BA9CBC" w:rsidR="006678E0" w:rsidRPr="00313CD5" w:rsidRDefault="006678E0" w:rsidP="006678E0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right="1711" w:hanging="284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i/>
          <w:sz w:val="16"/>
          <w:szCs w:val="16"/>
        </w:rPr>
        <w:t>vor Akquisitionen und Desinvestitionen</w:t>
      </w:r>
      <w:r>
        <w:rPr>
          <w:rFonts w:ascii="Arial" w:hAnsi="Arial" w:cs="Arial"/>
          <w:i/>
          <w:sz w:val="16"/>
          <w:szCs w:val="16"/>
        </w:rPr>
        <w:t xml:space="preserve"> und unter Berücksichtigung damit zusammenhängender Kosten</w:t>
      </w:r>
    </w:p>
    <w:p w14:paraId="3E4A7119" w14:textId="77777777" w:rsidR="006678E0" w:rsidRPr="00852108" w:rsidRDefault="006678E0" w:rsidP="00AF0CA5">
      <w:pPr>
        <w:pStyle w:val="MMZwischenberschrift"/>
      </w:pPr>
    </w:p>
    <w:p w14:paraId="1870E1F5" w14:textId="64DF876D" w:rsidR="00DF6351" w:rsidRDefault="00DF6351" w:rsidP="00195338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lastRenderedPageBreak/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 w:rsidR="00195338"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="00195338"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FF5171" w:rsidRPr="00FF5171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www.leoni.com/de/presse/mitteilungen/details/leoni-strukturiert-bordnetzbereich-um/</w:t>
        </w:r>
      </w:hyperlink>
      <w:r w:rsidRPr="00FE68FC">
        <w:rPr>
          <w:rFonts w:ascii="Arial" w:hAnsi="Arial" w:cs="Arial"/>
          <w:i/>
          <w:sz w:val="22"/>
          <w:szCs w:val="22"/>
        </w:rPr>
        <w:t xml:space="preserve"> </w:t>
      </w:r>
    </w:p>
    <w:p w14:paraId="26474A22" w14:textId="3E43786D" w:rsidR="00E01A4E" w:rsidRPr="00E01A4E" w:rsidRDefault="00E01A4E" w:rsidP="00E01A4E">
      <w:pPr>
        <w:ind w:right="1852"/>
        <w:rPr>
          <w:rFonts w:ascii="Arial" w:hAnsi="Arial" w:cs="Arial"/>
          <w:i/>
          <w:sz w:val="21"/>
          <w:szCs w:val="21"/>
        </w:rPr>
      </w:pPr>
      <w:r w:rsidRPr="00B30C8C">
        <w:rPr>
          <w:rFonts w:ascii="Arial" w:hAnsi="Arial" w:cs="Arial"/>
          <w:sz w:val="36"/>
          <w:szCs w:val="36"/>
        </w:rPr>
        <w:sym w:font="Wingdings" w:char="F046"/>
      </w:r>
      <w:r w:rsidRPr="00B30C8C">
        <w:rPr>
          <w:rFonts w:ascii="Arial" w:hAnsi="Arial" w:cs="Arial"/>
          <w:i/>
          <w:sz w:val="20"/>
          <w:szCs w:val="20"/>
        </w:rPr>
        <w:t xml:space="preserve"> </w:t>
      </w:r>
      <w:r w:rsidRPr="00B30C8C">
        <w:rPr>
          <w:rFonts w:ascii="Arial" w:hAnsi="Arial" w:cs="Arial"/>
          <w:i/>
          <w:sz w:val="22"/>
          <w:szCs w:val="22"/>
        </w:rPr>
        <w:t xml:space="preserve">Den vollständigen Geschäftsbericht können Sie herunterladen unter </w:t>
      </w:r>
      <w:hyperlink r:id="rId10" w:history="1">
        <w:r w:rsidRPr="007923E9">
          <w:rPr>
            <w:rStyle w:val="Hyperlink"/>
            <w:rFonts w:ascii="Arial" w:hAnsi="Arial" w:cs="Arial"/>
            <w:i/>
            <w:sz w:val="22"/>
            <w:szCs w:val="22"/>
          </w:rPr>
          <w:t>www.leoni.com/de/finanzpublikationen</w:t>
        </w:r>
      </w:hyperlink>
    </w:p>
    <w:p w14:paraId="3D992921" w14:textId="77777777" w:rsidR="001B621B" w:rsidRPr="006D36F9" w:rsidRDefault="006F4393" w:rsidP="006D36F9">
      <w:pPr>
        <w:pStyle w:val="MMKurzprofilberschrift"/>
      </w:pPr>
      <w:r w:rsidRPr="006D36F9">
        <w:t>Über die Leoni-Gruppe</w:t>
      </w:r>
    </w:p>
    <w:p w14:paraId="37CBA883" w14:textId="77777777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</w:t>
      </w:r>
      <w:r w:rsidRPr="00BC4F23">
        <w:t xml:space="preserve">Unternehmensgruppe </w:t>
      </w:r>
      <w:r w:rsidR="004B78AC" w:rsidRPr="00BC4F23">
        <w:t>beschäftigt rund 74.000 Mitarbeiter in 32 Ländern und erzielte 2015 einen Konzernumsatz von 4,5 Mrd. Euro</w:t>
      </w:r>
      <w:r w:rsidR="00466073" w:rsidRPr="00BC4F23">
        <w:t>.</w:t>
      </w:r>
    </w:p>
    <w:p w14:paraId="1B0C750C" w14:textId="77777777" w:rsidR="00E569A0" w:rsidRPr="00877C02" w:rsidRDefault="00E569A0" w:rsidP="00E569A0">
      <w:pPr>
        <w:pStyle w:val="MMKurzprofil"/>
        <w:rPr>
          <w:sz w:val="8"/>
          <w:szCs w:val="8"/>
        </w:rPr>
      </w:pPr>
    </w:p>
    <w:p w14:paraId="47F2FD77" w14:textId="77777777"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 wp14:anchorId="22A4762F" wp14:editId="1A56BBA6">
            <wp:extent cx="180975" cy="180975"/>
            <wp:effectExtent l="0" t="0" r="9525" b="9525"/>
            <wp:docPr id="4" name="Bild 1" descr="facebook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0C69893A" wp14:editId="47C23935">
            <wp:extent cx="180975" cy="180975"/>
            <wp:effectExtent l="0" t="0" r="9525" b="9525"/>
            <wp:docPr id="2" name="Bild 2" descr="xi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2893C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268795D2" w14:textId="77777777" w:rsidR="008F5F48" w:rsidRPr="006D36F9" w:rsidRDefault="008F5F48" w:rsidP="006D36F9">
      <w:pPr>
        <w:pStyle w:val="MMKurzprofil"/>
      </w:pPr>
      <w:r w:rsidRPr="006D36F9">
        <w:t>Sven Schmidt</w:t>
      </w:r>
    </w:p>
    <w:p w14:paraId="3A8B56A8" w14:textId="77777777"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14:paraId="0E883BCF" w14:textId="77777777" w:rsidR="009613DC" w:rsidRPr="006D36F9" w:rsidRDefault="009613DC" w:rsidP="006D36F9">
      <w:pPr>
        <w:pStyle w:val="MMKurzprofil"/>
      </w:pPr>
      <w:r>
        <w:t>LEONI AG</w:t>
      </w:r>
    </w:p>
    <w:p w14:paraId="1B6B2056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(0)911-2023-467</w:t>
      </w:r>
    </w:p>
    <w:p w14:paraId="77C43631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(0)911-2023-231</w:t>
      </w:r>
    </w:p>
    <w:p w14:paraId="3D5FE36C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5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5E4FBD" w15:done="0"/>
  <w15:commentEx w15:paraId="30CF6153" w15:done="0"/>
  <w15:commentEx w15:paraId="1ED567F9" w15:done="0"/>
  <w15:commentEx w15:paraId="17BF9AB2" w15:done="0"/>
  <w15:commentEx w15:paraId="2C9E4B2C" w15:done="0"/>
  <w15:commentEx w15:paraId="4FB6ACC7" w15:done="0"/>
  <w15:commentEx w15:paraId="0EB39C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C98D5" w14:textId="77777777" w:rsidR="00BC62DE" w:rsidRPr="00A44C71" w:rsidRDefault="00BC62DE">
      <w:pPr>
        <w:rPr>
          <w:sz w:val="16"/>
        </w:rPr>
      </w:pPr>
      <w:r>
        <w:separator/>
      </w:r>
    </w:p>
  </w:endnote>
  <w:endnote w:type="continuationSeparator" w:id="0">
    <w:p w14:paraId="6F2D8FD7" w14:textId="77777777" w:rsidR="00BC62DE" w:rsidRPr="00A44C71" w:rsidRDefault="00BC62DE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Andale Mono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7C7B" w14:textId="77777777" w:rsidR="00BC62DE" w:rsidRPr="009A05EE" w:rsidRDefault="00BC62DE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094CA3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094CA3">
      <w:rPr>
        <w:rStyle w:val="Seitenzahl"/>
        <w:rFonts w:ascii="Arial" w:hAnsi="Arial" w:cs="Arial"/>
        <w:i/>
        <w:noProof/>
        <w:sz w:val="16"/>
        <w:szCs w:val="16"/>
      </w:rPr>
      <w:t>5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14:paraId="02AF27DF" w14:textId="77777777" w:rsidR="00BC62DE" w:rsidRPr="009F6805" w:rsidRDefault="00BC62DE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CC1" w14:textId="77777777" w:rsidR="00BC62DE" w:rsidRPr="00190924" w:rsidRDefault="00BC62D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14:paraId="6A537E65" w14:textId="77777777" w:rsidR="00BC62DE" w:rsidRPr="00190924" w:rsidRDefault="00BC62DE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5D6F8" w14:textId="77777777" w:rsidR="00BC62DE" w:rsidRPr="00A44C71" w:rsidRDefault="00BC62DE">
      <w:pPr>
        <w:rPr>
          <w:sz w:val="16"/>
        </w:rPr>
      </w:pPr>
      <w:r>
        <w:separator/>
      </w:r>
    </w:p>
  </w:footnote>
  <w:footnote w:type="continuationSeparator" w:id="0">
    <w:p w14:paraId="6CCBE9DB" w14:textId="77777777" w:rsidR="00BC62DE" w:rsidRPr="00A44C71" w:rsidRDefault="00BC62DE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363D7" w14:textId="77777777" w:rsidR="00BC62DE" w:rsidRPr="00F17738" w:rsidRDefault="00BC62D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EDA30A9" w14:textId="77777777" w:rsidR="00BC62DE" w:rsidRPr="00F17738" w:rsidRDefault="00BC62D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389791F" w14:textId="77777777" w:rsidR="00BC62DE" w:rsidRPr="00F17738" w:rsidRDefault="00BC62D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1323F072" wp14:editId="64CC0F97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856CE" w14:textId="77777777" w:rsidR="00BC62DE" w:rsidRDefault="00BC62DE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4126EDAF" w14:textId="77777777" w:rsidR="00BC62DE" w:rsidRPr="006D36F9" w:rsidRDefault="00BC62DE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Pr="006D36F9">
      <w:rPr>
        <w:rFonts w:ascii="Arial" w:hAnsi="Arial" w:cs="Arial"/>
        <w:b/>
        <w:sz w:val="20"/>
        <w:szCs w:val="20"/>
      </w:rPr>
      <w:t>MITTEILUNG</w:t>
    </w:r>
  </w:p>
  <w:p w14:paraId="0D792C0B" w14:textId="77777777" w:rsidR="00BC62DE" w:rsidRPr="00F17738" w:rsidRDefault="00BC62D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C9B50D3" w14:textId="77777777" w:rsidR="00BC62DE" w:rsidRPr="00F17738" w:rsidRDefault="00BC62D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6D789CA5" w14:textId="77777777" w:rsidR="00BC62DE" w:rsidRPr="00F17738" w:rsidRDefault="00BC62D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71E58A8" w14:textId="77777777" w:rsidR="00BC62DE" w:rsidRPr="006F0BE8" w:rsidRDefault="00BC62DE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683F" w14:textId="77777777" w:rsidR="00BC62DE" w:rsidRPr="00F17738" w:rsidRDefault="00BC62DE" w:rsidP="008F5F48">
    <w:pPr>
      <w:pStyle w:val="Kopfzeile"/>
      <w:ind w:right="12"/>
      <w:rPr>
        <w:rFonts w:ascii="Verdana" w:hAnsi="Verdana"/>
        <w:sz w:val="20"/>
      </w:rPr>
    </w:pPr>
  </w:p>
  <w:p w14:paraId="25DC23AE" w14:textId="77777777" w:rsidR="00BC62DE" w:rsidRPr="00F17738" w:rsidRDefault="00BC62DE" w:rsidP="008F5F48">
    <w:pPr>
      <w:pStyle w:val="Kopfzeile"/>
      <w:ind w:right="12"/>
      <w:rPr>
        <w:rFonts w:ascii="Verdana" w:hAnsi="Verdana"/>
        <w:sz w:val="20"/>
      </w:rPr>
    </w:pPr>
  </w:p>
  <w:p w14:paraId="095195F8" w14:textId="77777777" w:rsidR="00BC62DE" w:rsidRPr="00F17738" w:rsidRDefault="00BC62DE" w:rsidP="008F5F48">
    <w:pPr>
      <w:pStyle w:val="Kopfzeile"/>
      <w:ind w:right="12"/>
      <w:rPr>
        <w:rFonts w:ascii="Verdana" w:hAnsi="Verdana"/>
        <w:sz w:val="20"/>
      </w:rPr>
    </w:pPr>
  </w:p>
  <w:p w14:paraId="19F2F0B6" w14:textId="77777777" w:rsidR="00BC62DE" w:rsidRPr="00F17738" w:rsidRDefault="00BC62DE" w:rsidP="008F5F48">
    <w:pPr>
      <w:pStyle w:val="Kopfzeile"/>
      <w:ind w:right="12"/>
      <w:rPr>
        <w:rFonts w:ascii="Verdana" w:hAnsi="Verdana"/>
        <w:sz w:val="20"/>
      </w:rPr>
    </w:pPr>
  </w:p>
  <w:p w14:paraId="180930A4" w14:textId="77777777" w:rsidR="00BC62DE" w:rsidRPr="00F17738" w:rsidRDefault="00BC62D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037F0D51" wp14:editId="3C2EA0C3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BB1BC" w14:textId="77777777" w:rsidR="00BC62DE" w:rsidRPr="00F17738" w:rsidRDefault="00BC62DE" w:rsidP="008F5F48">
    <w:pPr>
      <w:pStyle w:val="Kopfzeile"/>
      <w:ind w:right="12"/>
      <w:rPr>
        <w:rFonts w:ascii="Verdana" w:hAnsi="Verdana"/>
        <w:sz w:val="20"/>
      </w:rPr>
    </w:pPr>
  </w:p>
  <w:p w14:paraId="76FE4EF0" w14:textId="77777777" w:rsidR="00BC62DE" w:rsidRPr="00F17738" w:rsidRDefault="00BC62DE" w:rsidP="008F5F48">
    <w:pPr>
      <w:pStyle w:val="Kopfzeile"/>
      <w:ind w:right="12"/>
      <w:rPr>
        <w:rFonts w:ascii="Verdana" w:hAnsi="Verdana"/>
        <w:sz w:val="20"/>
      </w:rPr>
    </w:pPr>
  </w:p>
  <w:p w14:paraId="15273EA2" w14:textId="77777777" w:rsidR="00BC62DE" w:rsidRPr="00F17738" w:rsidRDefault="00BC62DE" w:rsidP="008F5F48">
    <w:pPr>
      <w:pStyle w:val="Kopfzeile"/>
      <w:ind w:right="12"/>
      <w:rPr>
        <w:rFonts w:ascii="Verdana" w:hAnsi="Verdana"/>
        <w:sz w:val="20"/>
      </w:rPr>
    </w:pPr>
  </w:p>
  <w:p w14:paraId="1D9A80A1" w14:textId="77777777" w:rsidR="00BC62DE" w:rsidRPr="00F17738" w:rsidRDefault="00BC62DE" w:rsidP="008F5F48">
    <w:pPr>
      <w:pStyle w:val="Kopfzeile"/>
      <w:ind w:right="12"/>
      <w:rPr>
        <w:rFonts w:ascii="Verdana" w:hAnsi="Verdana"/>
        <w:sz w:val="20"/>
      </w:rPr>
    </w:pPr>
  </w:p>
  <w:p w14:paraId="4B4567AB" w14:textId="77777777" w:rsidR="00BC62DE" w:rsidRPr="00F17738" w:rsidRDefault="00BC62DE" w:rsidP="008F5F48">
    <w:pPr>
      <w:pStyle w:val="Kopfzeile"/>
      <w:ind w:right="12"/>
      <w:rPr>
        <w:rFonts w:ascii="Verdana" w:hAnsi="Verdana"/>
        <w:sz w:val="20"/>
      </w:rPr>
    </w:pPr>
  </w:p>
  <w:p w14:paraId="40A6FA64" w14:textId="77777777" w:rsidR="00BC62DE" w:rsidRPr="00F17738" w:rsidRDefault="00BC62DE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B3473"/>
    <w:multiLevelType w:val="hybridMultilevel"/>
    <w:tmpl w:val="83B89CE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Judith Mayer">
    <w15:presenceInfo w15:providerId="AD" w15:userId="S-1-5-21-1177238915-1770027372-725345543-164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14943"/>
    <w:rsid w:val="0002074B"/>
    <w:rsid w:val="00022E23"/>
    <w:rsid w:val="0002408F"/>
    <w:rsid w:val="000453F9"/>
    <w:rsid w:val="00057659"/>
    <w:rsid w:val="000651EC"/>
    <w:rsid w:val="00087C38"/>
    <w:rsid w:val="00094CA3"/>
    <w:rsid w:val="000A0822"/>
    <w:rsid w:val="000A14BC"/>
    <w:rsid w:val="000A32BC"/>
    <w:rsid w:val="000A7B89"/>
    <w:rsid w:val="000B3BF8"/>
    <w:rsid w:val="000B5865"/>
    <w:rsid w:val="000C02B1"/>
    <w:rsid w:val="000C33D0"/>
    <w:rsid w:val="000C3DD5"/>
    <w:rsid w:val="000D3FBB"/>
    <w:rsid w:val="000E0BCB"/>
    <w:rsid w:val="000E6946"/>
    <w:rsid w:val="000F2DC6"/>
    <w:rsid w:val="00102158"/>
    <w:rsid w:val="00110484"/>
    <w:rsid w:val="00110527"/>
    <w:rsid w:val="00112EFB"/>
    <w:rsid w:val="00115FC6"/>
    <w:rsid w:val="00123771"/>
    <w:rsid w:val="00123B76"/>
    <w:rsid w:val="00130F82"/>
    <w:rsid w:val="00132B87"/>
    <w:rsid w:val="00134E77"/>
    <w:rsid w:val="001454B6"/>
    <w:rsid w:val="00152D54"/>
    <w:rsid w:val="00157668"/>
    <w:rsid w:val="00157C54"/>
    <w:rsid w:val="001617CD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7543"/>
    <w:rsid w:val="001D1868"/>
    <w:rsid w:val="001D235D"/>
    <w:rsid w:val="001D2CDB"/>
    <w:rsid w:val="00204990"/>
    <w:rsid w:val="00207FC6"/>
    <w:rsid w:val="00211D05"/>
    <w:rsid w:val="00214804"/>
    <w:rsid w:val="00235F52"/>
    <w:rsid w:val="00240866"/>
    <w:rsid w:val="0024264E"/>
    <w:rsid w:val="00245C9E"/>
    <w:rsid w:val="00251591"/>
    <w:rsid w:val="00260A78"/>
    <w:rsid w:val="002630D8"/>
    <w:rsid w:val="00264325"/>
    <w:rsid w:val="0027050A"/>
    <w:rsid w:val="00271877"/>
    <w:rsid w:val="00283A4E"/>
    <w:rsid w:val="002929B6"/>
    <w:rsid w:val="002956A9"/>
    <w:rsid w:val="0029603C"/>
    <w:rsid w:val="002B325C"/>
    <w:rsid w:val="002B59D6"/>
    <w:rsid w:val="002B7AC7"/>
    <w:rsid w:val="002B7BFA"/>
    <w:rsid w:val="002C118D"/>
    <w:rsid w:val="00304A7E"/>
    <w:rsid w:val="003118F1"/>
    <w:rsid w:val="00314F40"/>
    <w:rsid w:val="00320044"/>
    <w:rsid w:val="0032479E"/>
    <w:rsid w:val="00325F19"/>
    <w:rsid w:val="00352E66"/>
    <w:rsid w:val="00361728"/>
    <w:rsid w:val="00361CF2"/>
    <w:rsid w:val="00362050"/>
    <w:rsid w:val="00364DCD"/>
    <w:rsid w:val="00382198"/>
    <w:rsid w:val="00397AC4"/>
    <w:rsid w:val="003C6AAE"/>
    <w:rsid w:val="003D2799"/>
    <w:rsid w:val="003D3AA0"/>
    <w:rsid w:val="003E43B4"/>
    <w:rsid w:val="003E4B96"/>
    <w:rsid w:val="003F5FDE"/>
    <w:rsid w:val="003F74D0"/>
    <w:rsid w:val="00404468"/>
    <w:rsid w:val="0040720B"/>
    <w:rsid w:val="00432245"/>
    <w:rsid w:val="00441012"/>
    <w:rsid w:val="00441963"/>
    <w:rsid w:val="0045071B"/>
    <w:rsid w:val="004547BF"/>
    <w:rsid w:val="004579E1"/>
    <w:rsid w:val="00466073"/>
    <w:rsid w:val="0047104C"/>
    <w:rsid w:val="00473340"/>
    <w:rsid w:val="00473E7D"/>
    <w:rsid w:val="00480076"/>
    <w:rsid w:val="004826F0"/>
    <w:rsid w:val="004A0075"/>
    <w:rsid w:val="004A1653"/>
    <w:rsid w:val="004A457B"/>
    <w:rsid w:val="004B0623"/>
    <w:rsid w:val="004B3DB8"/>
    <w:rsid w:val="004B4CC2"/>
    <w:rsid w:val="004B78AC"/>
    <w:rsid w:val="004D2FCB"/>
    <w:rsid w:val="004E29FC"/>
    <w:rsid w:val="004E5849"/>
    <w:rsid w:val="004F038C"/>
    <w:rsid w:val="004F2266"/>
    <w:rsid w:val="004F7079"/>
    <w:rsid w:val="00500004"/>
    <w:rsid w:val="00500B29"/>
    <w:rsid w:val="005072AE"/>
    <w:rsid w:val="00513932"/>
    <w:rsid w:val="00526F46"/>
    <w:rsid w:val="00532C20"/>
    <w:rsid w:val="00533F65"/>
    <w:rsid w:val="005418D3"/>
    <w:rsid w:val="00543C34"/>
    <w:rsid w:val="005448AB"/>
    <w:rsid w:val="00547D6D"/>
    <w:rsid w:val="0057107B"/>
    <w:rsid w:val="005811BB"/>
    <w:rsid w:val="00586387"/>
    <w:rsid w:val="005B4DC3"/>
    <w:rsid w:val="005C5351"/>
    <w:rsid w:val="005D4C87"/>
    <w:rsid w:val="005D550E"/>
    <w:rsid w:val="005E0BBB"/>
    <w:rsid w:val="005E2FE7"/>
    <w:rsid w:val="005F46FD"/>
    <w:rsid w:val="005F490F"/>
    <w:rsid w:val="005F561A"/>
    <w:rsid w:val="00600E53"/>
    <w:rsid w:val="00614A49"/>
    <w:rsid w:val="0061798D"/>
    <w:rsid w:val="0062285E"/>
    <w:rsid w:val="00624CA9"/>
    <w:rsid w:val="00627DDF"/>
    <w:rsid w:val="00631FB1"/>
    <w:rsid w:val="006332BA"/>
    <w:rsid w:val="00633487"/>
    <w:rsid w:val="006457CF"/>
    <w:rsid w:val="00653018"/>
    <w:rsid w:val="00654989"/>
    <w:rsid w:val="006611CF"/>
    <w:rsid w:val="00665661"/>
    <w:rsid w:val="006678E0"/>
    <w:rsid w:val="00683EF3"/>
    <w:rsid w:val="006A76CA"/>
    <w:rsid w:val="006C5546"/>
    <w:rsid w:val="006C5D8F"/>
    <w:rsid w:val="006C6A78"/>
    <w:rsid w:val="006D36F9"/>
    <w:rsid w:val="006E0029"/>
    <w:rsid w:val="006E5E89"/>
    <w:rsid w:val="006E5F12"/>
    <w:rsid w:val="006F0BE8"/>
    <w:rsid w:val="006F435B"/>
    <w:rsid w:val="006F4393"/>
    <w:rsid w:val="006F78FE"/>
    <w:rsid w:val="007107D8"/>
    <w:rsid w:val="00711906"/>
    <w:rsid w:val="00720539"/>
    <w:rsid w:val="00721853"/>
    <w:rsid w:val="00733298"/>
    <w:rsid w:val="007420F8"/>
    <w:rsid w:val="00746469"/>
    <w:rsid w:val="00765E37"/>
    <w:rsid w:val="00772C01"/>
    <w:rsid w:val="007747B6"/>
    <w:rsid w:val="00783A5E"/>
    <w:rsid w:val="007864F1"/>
    <w:rsid w:val="00795463"/>
    <w:rsid w:val="007C3759"/>
    <w:rsid w:val="007D7D60"/>
    <w:rsid w:val="007E4233"/>
    <w:rsid w:val="007E491E"/>
    <w:rsid w:val="007E7AA7"/>
    <w:rsid w:val="007F3212"/>
    <w:rsid w:val="007F73CF"/>
    <w:rsid w:val="008045E1"/>
    <w:rsid w:val="00821BA4"/>
    <w:rsid w:val="00834D0C"/>
    <w:rsid w:val="0083522C"/>
    <w:rsid w:val="008446CD"/>
    <w:rsid w:val="00852108"/>
    <w:rsid w:val="0085470D"/>
    <w:rsid w:val="0086070A"/>
    <w:rsid w:val="00877C02"/>
    <w:rsid w:val="00883645"/>
    <w:rsid w:val="008920B0"/>
    <w:rsid w:val="008A3381"/>
    <w:rsid w:val="008B1883"/>
    <w:rsid w:val="008B4F95"/>
    <w:rsid w:val="008D26BA"/>
    <w:rsid w:val="008D6717"/>
    <w:rsid w:val="008D7DDA"/>
    <w:rsid w:val="008E7760"/>
    <w:rsid w:val="008F5F48"/>
    <w:rsid w:val="008F76B8"/>
    <w:rsid w:val="0090176A"/>
    <w:rsid w:val="00906898"/>
    <w:rsid w:val="00924034"/>
    <w:rsid w:val="00934CC3"/>
    <w:rsid w:val="00936962"/>
    <w:rsid w:val="00950ED8"/>
    <w:rsid w:val="009613DC"/>
    <w:rsid w:val="00961415"/>
    <w:rsid w:val="00967E91"/>
    <w:rsid w:val="009714B0"/>
    <w:rsid w:val="00977A5F"/>
    <w:rsid w:val="00977A87"/>
    <w:rsid w:val="009873C8"/>
    <w:rsid w:val="009A05EE"/>
    <w:rsid w:val="009A1070"/>
    <w:rsid w:val="009A464A"/>
    <w:rsid w:val="009A49DB"/>
    <w:rsid w:val="009B48FF"/>
    <w:rsid w:val="009B564D"/>
    <w:rsid w:val="009C6B13"/>
    <w:rsid w:val="009D7F99"/>
    <w:rsid w:val="009F30DA"/>
    <w:rsid w:val="009F6805"/>
    <w:rsid w:val="009F752B"/>
    <w:rsid w:val="009F7686"/>
    <w:rsid w:val="00A03787"/>
    <w:rsid w:val="00A12538"/>
    <w:rsid w:val="00A145F4"/>
    <w:rsid w:val="00A20DB3"/>
    <w:rsid w:val="00A23623"/>
    <w:rsid w:val="00A23768"/>
    <w:rsid w:val="00A27173"/>
    <w:rsid w:val="00A34AA7"/>
    <w:rsid w:val="00A424B7"/>
    <w:rsid w:val="00A51056"/>
    <w:rsid w:val="00A5162F"/>
    <w:rsid w:val="00A54DDA"/>
    <w:rsid w:val="00A57FA1"/>
    <w:rsid w:val="00A66992"/>
    <w:rsid w:val="00A708D7"/>
    <w:rsid w:val="00A751B9"/>
    <w:rsid w:val="00A76415"/>
    <w:rsid w:val="00AA09F4"/>
    <w:rsid w:val="00AA2A8D"/>
    <w:rsid w:val="00AA4649"/>
    <w:rsid w:val="00AC2AE0"/>
    <w:rsid w:val="00AC7A23"/>
    <w:rsid w:val="00AD3E26"/>
    <w:rsid w:val="00AE0F06"/>
    <w:rsid w:val="00AE43B7"/>
    <w:rsid w:val="00AF0A61"/>
    <w:rsid w:val="00AF0CA5"/>
    <w:rsid w:val="00AF3E2D"/>
    <w:rsid w:val="00B038D8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B69B8"/>
    <w:rsid w:val="00BC0EBE"/>
    <w:rsid w:val="00BC4F23"/>
    <w:rsid w:val="00BC5FE7"/>
    <w:rsid w:val="00BC62DE"/>
    <w:rsid w:val="00BD22AC"/>
    <w:rsid w:val="00BD2643"/>
    <w:rsid w:val="00BD4058"/>
    <w:rsid w:val="00BF5681"/>
    <w:rsid w:val="00BF7DEC"/>
    <w:rsid w:val="00C007DE"/>
    <w:rsid w:val="00C03D20"/>
    <w:rsid w:val="00C053BC"/>
    <w:rsid w:val="00C07382"/>
    <w:rsid w:val="00C108BC"/>
    <w:rsid w:val="00C11645"/>
    <w:rsid w:val="00C1516A"/>
    <w:rsid w:val="00C178EC"/>
    <w:rsid w:val="00C31E96"/>
    <w:rsid w:val="00C435D0"/>
    <w:rsid w:val="00C4636C"/>
    <w:rsid w:val="00C56EEB"/>
    <w:rsid w:val="00C60B33"/>
    <w:rsid w:val="00C663CB"/>
    <w:rsid w:val="00C6770A"/>
    <w:rsid w:val="00C70F49"/>
    <w:rsid w:val="00C7427E"/>
    <w:rsid w:val="00C83F49"/>
    <w:rsid w:val="00C900A9"/>
    <w:rsid w:val="00C96EBA"/>
    <w:rsid w:val="00CA481B"/>
    <w:rsid w:val="00CA4B57"/>
    <w:rsid w:val="00CB644E"/>
    <w:rsid w:val="00CD332B"/>
    <w:rsid w:val="00D04407"/>
    <w:rsid w:val="00D1225B"/>
    <w:rsid w:val="00D15735"/>
    <w:rsid w:val="00D22ED7"/>
    <w:rsid w:val="00D413F1"/>
    <w:rsid w:val="00D42BFB"/>
    <w:rsid w:val="00D431E4"/>
    <w:rsid w:val="00D47FA5"/>
    <w:rsid w:val="00D56B16"/>
    <w:rsid w:val="00D60030"/>
    <w:rsid w:val="00D65513"/>
    <w:rsid w:val="00D67DB8"/>
    <w:rsid w:val="00D700B9"/>
    <w:rsid w:val="00D72FCB"/>
    <w:rsid w:val="00D738A7"/>
    <w:rsid w:val="00D74838"/>
    <w:rsid w:val="00D80DBE"/>
    <w:rsid w:val="00D90D76"/>
    <w:rsid w:val="00DA49A1"/>
    <w:rsid w:val="00DB1EEC"/>
    <w:rsid w:val="00DB2E93"/>
    <w:rsid w:val="00DD5149"/>
    <w:rsid w:val="00DD67C1"/>
    <w:rsid w:val="00DF6351"/>
    <w:rsid w:val="00E01673"/>
    <w:rsid w:val="00E01A4E"/>
    <w:rsid w:val="00E02B7A"/>
    <w:rsid w:val="00E2445B"/>
    <w:rsid w:val="00E33130"/>
    <w:rsid w:val="00E358C1"/>
    <w:rsid w:val="00E45475"/>
    <w:rsid w:val="00E460C8"/>
    <w:rsid w:val="00E54C76"/>
    <w:rsid w:val="00E569A0"/>
    <w:rsid w:val="00E56CF0"/>
    <w:rsid w:val="00E76BA0"/>
    <w:rsid w:val="00E82B97"/>
    <w:rsid w:val="00E93051"/>
    <w:rsid w:val="00E93D8A"/>
    <w:rsid w:val="00E96673"/>
    <w:rsid w:val="00EA772C"/>
    <w:rsid w:val="00EC043E"/>
    <w:rsid w:val="00EC0A0C"/>
    <w:rsid w:val="00EC0E74"/>
    <w:rsid w:val="00EC6520"/>
    <w:rsid w:val="00ED1040"/>
    <w:rsid w:val="00ED288B"/>
    <w:rsid w:val="00ED47BD"/>
    <w:rsid w:val="00EE209D"/>
    <w:rsid w:val="00EE3329"/>
    <w:rsid w:val="00EF591E"/>
    <w:rsid w:val="00F026D8"/>
    <w:rsid w:val="00F129BE"/>
    <w:rsid w:val="00F21EA0"/>
    <w:rsid w:val="00F247D5"/>
    <w:rsid w:val="00F27323"/>
    <w:rsid w:val="00F37865"/>
    <w:rsid w:val="00F4749E"/>
    <w:rsid w:val="00F53056"/>
    <w:rsid w:val="00F55602"/>
    <w:rsid w:val="00F57432"/>
    <w:rsid w:val="00F67138"/>
    <w:rsid w:val="00F71821"/>
    <w:rsid w:val="00F737A1"/>
    <w:rsid w:val="00F73C92"/>
    <w:rsid w:val="00F77BB5"/>
    <w:rsid w:val="00F80249"/>
    <w:rsid w:val="00F84D48"/>
    <w:rsid w:val="00F90257"/>
    <w:rsid w:val="00F91F06"/>
    <w:rsid w:val="00F91FB0"/>
    <w:rsid w:val="00F92DC3"/>
    <w:rsid w:val="00F94F62"/>
    <w:rsid w:val="00F955C9"/>
    <w:rsid w:val="00FB10D4"/>
    <w:rsid w:val="00FC2BA4"/>
    <w:rsid w:val="00FC72E8"/>
    <w:rsid w:val="00FE0AC5"/>
    <w:rsid w:val="00FE68FC"/>
    <w:rsid w:val="00FF2690"/>
    <w:rsid w:val="00FF303C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49DD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AF0CA5"/>
    <w:pPr>
      <w:tabs>
        <w:tab w:val="left" w:pos="8505"/>
      </w:tabs>
      <w:spacing w:line="360" w:lineRule="auto"/>
      <w:ind w:right="1922"/>
      <w:jc w:val="both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AF0C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66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AF0CA5"/>
    <w:pPr>
      <w:tabs>
        <w:tab w:val="left" w:pos="8505"/>
      </w:tabs>
      <w:spacing w:line="360" w:lineRule="auto"/>
      <w:ind w:right="1922"/>
      <w:jc w:val="both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AF0C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66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41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127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ing.com/companies/leoni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pages/LEONI-Group-official-profile/19314662739175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@leoni.com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leoni.com/de/finanzpublikatione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strukturiert-bordnetzbereich-um/" TargetMode="Externa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F18B-221C-43F3-AE58-10A178FE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9359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Wittmann, Ina</cp:lastModifiedBy>
  <cp:revision>2</cp:revision>
  <cp:lastPrinted>2016-03-22T13:34:00Z</cp:lastPrinted>
  <dcterms:created xsi:type="dcterms:W3CDTF">2016-03-22T13:42:00Z</dcterms:created>
  <dcterms:modified xsi:type="dcterms:W3CDTF">2016-03-22T13:42:00Z</dcterms:modified>
</cp:coreProperties>
</file>