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7D" w:rsidRPr="00E8737D" w:rsidRDefault="00E8737D" w:rsidP="00E8737D">
      <w:pPr>
        <w:pStyle w:val="MMU1"/>
        <w:rPr>
          <w:lang w:val="en-US"/>
        </w:rPr>
      </w:pPr>
      <w:r w:rsidRPr="00E8737D">
        <w:rPr>
          <w:lang w:val="en-US"/>
        </w:rPr>
        <w:t>Leoni’s sales almost hold steady in the first quarter of 2016</w:t>
      </w:r>
    </w:p>
    <w:p w:rsidR="00E8737D" w:rsidRPr="00E8737D" w:rsidRDefault="00E8737D" w:rsidP="00E8737D">
      <w:pPr>
        <w:pStyle w:val="MMU2"/>
      </w:pPr>
      <w:r w:rsidRPr="00E8737D">
        <w:t>EBIT down from previous year as expected – full-year forecast reaffirmed</w:t>
      </w:r>
    </w:p>
    <w:p w:rsidR="00E8737D" w:rsidRPr="00E8737D" w:rsidRDefault="00E8737D" w:rsidP="00E8737D">
      <w:pPr>
        <w:pStyle w:val="MMVorspann"/>
        <w:rPr>
          <w:lang w:val="en-US"/>
        </w:rPr>
      </w:pPr>
      <w:r w:rsidRPr="00E8737D">
        <w:rPr>
          <w:lang w:val="en-US"/>
        </w:rPr>
        <w:t xml:space="preserve">Nuremberg, 11 May 2016 </w:t>
      </w:r>
      <w:r w:rsidR="005877F2">
        <w:rPr>
          <w:lang w:val="en-US"/>
        </w:rPr>
        <w:t>–</w:t>
      </w:r>
      <w:r w:rsidRPr="00E8737D">
        <w:rPr>
          <w:lang w:val="en-US"/>
        </w:rPr>
        <w:t xml:space="preserve"> Leoni</w:t>
      </w:r>
      <w:r w:rsidR="005877F2">
        <w:rPr>
          <w:lang w:val="en-US"/>
        </w:rPr>
        <w:t xml:space="preserve"> </w:t>
      </w:r>
      <w:r w:rsidRPr="00E8737D">
        <w:rPr>
          <w:lang w:val="en-US"/>
        </w:rPr>
        <w:t>generated consolidated sales of EUR 1,089.3 million in the first three months of 2016, i.e. nearly as much as the figure of EUR 1,108.8 million for the same period of the previous year. The leading European provider of cables and cable systems to the automotive sector and other industries grew its business slightly from its own resources. However, the adverse effects of a copper price substantially lower than in the same period of the previous year more than offset this organic growth. Changes in exchange rates also exerted a diminishing effect on sales.</w:t>
      </w:r>
    </w:p>
    <w:p w:rsidR="00E8737D" w:rsidRPr="00E8737D" w:rsidRDefault="00E8737D" w:rsidP="00E8737D">
      <w:pPr>
        <w:pStyle w:val="MMFlietext"/>
        <w:rPr>
          <w:lang w:val="en-US"/>
        </w:rPr>
      </w:pPr>
      <w:r w:rsidRPr="00E8737D">
        <w:rPr>
          <w:lang w:val="en-US"/>
        </w:rPr>
        <w:t xml:space="preserve">Despite the adverse raw materials factor, the amount of business in the EMEA (Europe, Middle East and Africa) region was up by about 7 percent to EUR 767.7 million. Sales in the Americas were down by around 12 percent to EUR 166.2 million, which is attributable to the weak commercial vehicles business and the on-schedule expiry of projects in the Wiring Systems Division. In Asia, Leoni recorded a reduction in sales of nearly 25 percent due above all to the no </w:t>
      </w:r>
      <w:proofErr w:type="gramStart"/>
      <w:r w:rsidRPr="00E8737D">
        <w:rPr>
          <w:lang w:val="en-US"/>
        </w:rPr>
        <w:t>longer</w:t>
      </w:r>
      <w:proofErr w:type="gramEnd"/>
      <w:r w:rsidRPr="00E8737D">
        <w:rPr>
          <w:lang w:val="en-US"/>
        </w:rPr>
        <w:t xml:space="preserve"> consolidated sales of a subsidiary in China that was transferred into a joint venture as well as the downturn in some areas of the Chinese economy.</w:t>
      </w:r>
    </w:p>
    <w:p w:rsidR="00E8737D" w:rsidRPr="00E8737D" w:rsidRDefault="00E8737D" w:rsidP="00E8737D">
      <w:pPr>
        <w:pStyle w:val="MMFlietext"/>
        <w:rPr>
          <w:lang w:val="en-US"/>
        </w:rPr>
      </w:pPr>
      <w:r w:rsidRPr="00E8737D">
        <w:rPr>
          <w:lang w:val="en-US"/>
        </w:rPr>
        <w:t xml:space="preserve">As expected, the problematic wiring systems projects launched in the second half of 2015 weighed on the Leoni Group's earnings before interest and taxes (EBIT) considerably during the period under report, taking the figure to EUR 24.4 million (previous year: EUR 35.2 million). After taxes, Leoni reported consolidated net income of EUR 11.6 million (previous year: EUR 16.8 million). </w:t>
      </w:r>
    </w:p>
    <w:p w:rsidR="00E8737D" w:rsidRPr="00F026D8" w:rsidRDefault="00E8737D" w:rsidP="00E8737D">
      <w:pPr>
        <w:pStyle w:val="MMZwischenberschrift"/>
      </w:pPr>
      <w:r>
        <w:t>WSD: Transformation running on schedule</w:t>
      </w:r>
    </w:p>
    <w:p w:rsidR="00E8737D" w:rsidRPr="00E8737D" w:rsidRDefault="00E8737D" w:rsidP="00E8737D">
      <w:pPr>
        <w:pStyle w:val="MMFlietext"/>
        <w:rPr>
          <w:lang w:val="en-US"/>
        </w:rPr>
      </w:pPr>
      <w:r w:rsidRPr="00E8737D">
        <w:rPr>
          <w:lang w:val="en-US"/>
        </w:rPr>
        <w:t xml:space="preserve">The Wiring Systems Division (WSD) reported sales of EUR 651.2 million for the first quarter of 2016, a figure virtually steady compared with the same period in 2015 (EUR 653.9 million) even though the joint venture in China, which has been included in the consolidated financial statements at equity since December 2015, were no longer included in the amount of business. There were increases particularly in shipments of cable harnesses and wiring </w:t>
      </w:r>
      <w:r w:rsidRPr="00E8737D">
        <w:rPr>
          <w:lang w:val="en-US"/>
        </w:rPr>
        <w:lastRenderedPageBreak/>
        <w:t>systems to German and other European carmakers. As announced, the critical new projects started in the Wiring Systems Division in the previous year, which incurred unplanned, heavy charges, took its earnings down to EUR 5</w:t>
      </w:r>
      <w:r w:rsidR="005877F2">
        <w:rPr>
          <w:lang w:val="en-US"/>
        </w:rPr>
        <w:t>.0</w:t>
      </w:r>
      <w:r w:rsidRPr="00E8737D">
        <w:rPr>
          <w:lang w:val="en-US"/>
        </w:rPr>
        <w:t xml:space="preserve"> million during the period under report (previous year: EUR 17.9 million). The Company initiated a comprehensive transformation process to improve the Wiring Systems Division’s profitability on a sustained basis, which is progressing as planned and is scheduled to run until the end of 2017. The focus for the time being is on raising the profitability of the critical projects, which will exert an increasingly beneficial effect on earnings in the months ahead. Furthermore, the division’s project management w</w:t>
      </w:r>
      <w:r w:rsidR="005877F2">
        <w:rPr>
          <w:lang w:val="en-US"/>
        </w:rPr>
        <w:t>ill be</w:t>
      </w:r>
      <w:r w:rsidRPr="00E8737D">
        <w:rPr>
          <w:lang w:val="en-US"/>
        </w:rPr>
        <w:t xml:space="preserve"> </w:t>
      </w:r>
      <w:proofErr w:type="spellStart"/>
      <w:r w:rsidRPr="00E8737D">
        <w:rPr>
          <w:lang w:val="en-US"/>
        </w:rPr>
        <w:t>optimised</w:t>
      </w:r>
      <w:proofErr w:type="spellEnd"/>
      <w:r w:rsidRPr="00E8737D">
        <w:rPr>
          <w:lang w:val="en-US"/>
        </w:rPr>
        <w:t xml:space="preserve"> and its </w:t>
      </w:r>
      <w:proofErr w:type="spellStart"/>
      <w:r w:rsidRPr="00E8737D">
        <w:rPr>
          <w:lang w:val="en-US"/>
        </w:rPr>
        <w:t>organisational</w:t>
      </w:r>
      <w:proofErr w:type="spellEnd"/>
      <w:r w:rsidRPr="00E8737D">
        <w:rPr>
          <w:lang w:val="en-US"/>
        </w:rPr>
        <w:t xml:space="preserve"> structure </w:t>
      </w:r>
      <w:r w:rsidR="005877F2">
        <w:rPr>
          <w:lang w:val="en-US"/>
        </w:rPr>
        <w:t xml:space="preserve">will be </w:t>
      </w:r>
      <w:r w:rsidRPr="00E8737D">
        <w:rPr>
          <w:lang w:val="en-US"/>
        </w:rPr>
        <w:t xml:space="preserve">streamlined. </w:t>
      </w:r>
    </w:p>
    <w:p w:rsidR="00E8737D" w:rsidRPr="00A5162F" w:rsidRDefault="00E8737D" w:rsidP="00E8737D">
      <w:pPr>
        <w:pStyle w:val="MMZwischenberschrift"/>
      </w:pPr>
      <w:r>
        <w:t>WCS: Earnings up by about 14 percent</w:t>
      </w:r>
    </w:p>
    <w:p w:rsidR="00E8737D" w:rsidRPr="00E8737D" w:rsidRDefault="00E8737D" w:rsidP="00E8737D">
      <w:pPr>
        <w:pStyle w:val="MMFlietext"/>
        <w:rPr>
          <w:lang w:val="en-US"/>
        </w:rPr>
      </w:pPr>
      <w:r w:rsidRPr="00E8737D">
        <w:rPr>
          <w:lang w:val="en-US"/>
        </w:rPr>
        <w:t xml:space="preserve">The Wire Cable Solutions (WCS) Division increased its business comprising automotive cables as well as cables and systems for other industrial segments slightly in the first three months of 2016. Among other projects, it started production of 100 Mbit automotive Ethernet cables that meet the growing demands on car data cables for autonomous driving. Demand from the medical technology, railway and solar industries as well as in the fiber optics sector also remained good. The organic growth was offset, however, by a major opposing effect due to the lower price of copper, meaning that the WCS Division’s sales for the period from January to March 2016 were down by about 4 percent to EUR 438.1 million (previous year: EUR 454.9 million). </w:t>
      </w:r>
    </w:p>
    <w:p w:rsidR="00E8737D" w:rsidRPr="00E8737D" w:rsidRDefault="00E8737D" w:rsidP="00E8737D">
      <w:pPr>
        <w:pStyle w:val="MMFlietext"/>
        <w:rPr>
          <w:lang w:val="en-US"/>
        </w:rPr>
      </w:pPr>
      <w:r w:rsidRPr="00E8737D">
        <w:rPr>
          <w:lang w:val="en-US"/>
        </w:rPr>
        <w:t>Thanks to the solid trend of operating performance, the division’s EBIT improved by roughly 14 percent to EUR 19.3 million (previous year</w:t>
      </w:r>
      <w:r w:rsidR="005877F2">
        <w:rPr>
          <w:lang w:val="en-US"/>
        </w:rPr>
        <w:t>:</w:t>
      </w:r>
      <w:r w:rsidRPr="00E8737D">
        <w:rPr>
          <w:lang w:val="en-US"/>
        </w:rPr>
        <w:t xml:space="preserve"> EUR 17.0 million) even though this included a negative metals price effect of EUR 3.3 million. The WCS Division’s order receipts of EUR 450.2 million for the period under report again exceeded its sales.</w:t>
      </w:r>
    </w:p>
    <w:p w:rsidR="00E8737D" w:rsidRPr="00E8737D" w:rsidRDefault="00E8737D" w:rsidP="00E8737D">
      <w:pPr>
        <w:pStyle w:val="MMZwischenberschrift"/>
        <w:rPr>
          <w:rFonts w:cs="Arial"/>
        </w:rPr>
      </w:pPr>
      <w:r w:rsidRPr="00E8737D">
        <w:t xml:space="preserve">Guidance for 2016 reaffirmed </w:t>
      </w:r>
    </w:p>
    <w:p w:rsidR="0098775F" w:rsidRPr="007F08F8" w:rsidRDefault="00E8737D" w:rsidP="00E8737D">
      <w:pPr>
        <w:pStyle w:val="MMFlietext"/>
        <w:rPr>
          <w:rFonts w:cs="Times New Roman"/>
          <w:szCs w:val="24"/>
          <w:lang w:val="en-US"/>
        </w:rPr>
      </w:pPr>
      <w:r w:rsidRPr="00E8737D">
        <w:rPr>
          <w:lang w:val="en-US"/>
        </w:rPr>
        <w:t>Following performance in line with expectations in the first quarter, Leoni reaffirmed its forecast for fiscal 2016: a slight decrease in consolidated sales to EUR 4.4 billion (previous year: EUR 4.5 billion) with consolidated EBIT down to EUR 105 million (prev</w:t>
      </w:r>
      <w:r>
        <w:rPr>
          <w:lang w:val="en-US"/>
        </w:rPr>
        <w:t>ious year: EUR 151.3 million)</w:t>
      </w:r>
      <w:r w:rsidR="00F55CB1">
        <w:rPr>
          <w:lang w:val="en-GB"/>
        </w:rPr>
        <w:t>.</w:t>
      </w:r>
    </w:p>
    <w:p w:rsidR="00AC5497" w:rsidRPr="000F65EE" w:rsidRDefault="00AC5497" w:rsidP="006366F6">
      <w:pPr>
        <w:pStyle w:val="MMFlietext"/>
        <w:spacing w:after="0"/>
        <w:rPr>
          <w:lang w:val="en-GB"/>
        </w:rPr>
      </w:pPr>
      <w:r w:rsidRPr="000F65EE">
        <w:rPr>
          <w:i/>
          <w:lang w:val="en-GB"/>
        </w:rPr>
        <w:lastRenderedPageBreak/>
        <w:t>(</w:t>
      </w:r>
      <w:r w:rsidR="000A2E7C">
        <w:rPr>
          <w:i/>
          <w:lang w:val="en-GB"/>
        </w:rPr>
        <w:t>4,460</w:t>
      </w:r>
      <w:r w:rsidRPr="000F65EE">
        <w:rPr>
          <w:i/>
          <w:lang w:val="en-GB"/>
        </w:rPr>
        <w:t xml:space="preserve"> characters incl</w:t>
      </w:r>
      <w:r w:rsidR="002D2880">
        <w:rPr>
          <w:i/>
          <w:lang w:val="en-GB"/>
        </w:rPr>
        <w:t xml:space="preserve">. </w:t>
      </w:r>
      <w:proofErr w:type="spellStart"/>
      <w:proofErr w:type="gramStart"/>
      <w:r w:rsidR="000209BC" w:rsidRPr="000F65EE">
        <w:rPr>
          <w:i/>
          <w:lang w:val="en-GB"/>
        </w:rPr>
        <w:t>blancs</w:t>
      </w:r>
      <w:proofErr w:type="spellEnd"/>
      <w:proofErr w:type="gramEnd"/>
      <w:r w:rsidRPr="000F65EE">
        <w:rPr>
          <w:i/>
          <w:lang w:val="en-GB"/>
        </w:rPr>
        <w:t>)</w:t>
      </w:r>
    </w:p>
    <w:p w:rsidR="00E26F48" w:rsidRDefault="00E26F48" w:rsidP="006366F6">
      <w:pPr>
        <w:pStyle w:val="MMKurzprofilberschrift"/>
        <w:spacing w:before="360" w:after="120"/>
        <w:rPr>
          <w:rFonts w:cs="Times New Roman"/>
          <w:szCs w:val="24"/>
          <w:lang w:val="en-GB"/>
        </w:rPr>
      </w:pPr>
      <w:r w:rsidRPr="008218D9">
        <w:rPr>
          <w:rFonts w:cs="Times New Roman"/>
          <w:szCs w:val="24"/>
          <w:lang w:val="en-GB"/>
        </w:rPr>
        <w:t>Leoni performance overview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28" w:type="dxa"/>
        </w:tblCellMar>
        <w:tblLook w:val="01E0" w:firstRow="1" w:lastRow="1" w:firstColumn="1" w:lastColumn="1" w:noHBand="0" w:noVBand="0"/>
      </w:tblPr>
      <w:tblGrid>
        <w:gridCol w:w="4077"/>
        <w:gridCol w:w="1276"/>
        <w:gridCol w:w="1276"/>
        <w:gridCol w:w="1276"/>
      </w:tblGrid>
      <w:tr w:rsidR="009E06E1" w:rsidRPr="002D2880" w:rsidTr="00B8338C">
        <w:trPr>
          <w:trHeight w:hRule="exact" w:val="227"/>
        </w:trPr>
        <w:tc>
          <w:tcPr>
            <w:tcW w:w="4077" w:type="dxa"/>
          </w:tcPr>
          <w:p w:rsidR="009E06E1" w:rsidRPr="002D2880" w:rsidRDefault="0004329A" w:rsidP="00B8338C">
            <w:pPr>
              <w:tabs>
                <w:tab w:val="left" w:pos="8505"/>
              </w:tabs>
              <w:rPr>
                <w:rFonts w:ascii="Arial" w:hAnsi="Arial" w:cs="Arial"/>
                <w:b/>
                <w:sz w:val="18"/>
                <w:szCs w:val="18"/>
                <w:lang w:val="en-US"/>
              </w:rPr>
            </w:pPr>
            <w:r w:rsidRPr="002D2880">
              <w:rPr>
                <w:rFonts w:ascii="Arial" w:hAnsi="Arial" w:cs="Arial"/>
                <w:b/>
                <w:sz w:val="18"/>
                <w:szCs w:val="18"/>
                <w:lang w:val="en-US"/>
              </w:rPr>
              <w:t>Group k</w:t>
            </w:r>
            <w:r w:rsidR="009E06E1" w:rsidRPr="002D2880">
              <w:rPr>
                <w:rFonts w:ascii="Arial" w:hAnsi="Arial" w:cs="Arial"/>
                <w:b/>
                <w:sz w:val="18"/>
                <w:szCs w:val="18"/>
                <w:lang w:val="en-US"/>
              </w:rPr>
              <w:t>ey figures</w:t>
            </w:r>
          </w:p>
        </w:tc>
        <w:tc>
          <w:tcPr>
            <w:tcW w:w="1276" w:type="dxa"/>
          </w:tcPr>
          <w:p w:rsidR="009E06E1" w:rsidRPr="002D2880" w:rsidRDefault="007F08F8" w:rsidP="00E8737D">
            <w:pPr>
              <w:tabs>
                <w:tab w:val="left" w:pos="8505"/>
              </w:tabs>
              <w:rPr>
                <w:rFonts w:ascii="Arial" w:hAnsi="Arial" w:cs="Arial"/>
                <w:b/>
                <w:sz w:val="18"/>
                <w:szCs w:val="18"/>
                <w:lang w:val="en-US"/>
              </w:rPr>
            </w:pPr>
            <w:r w:rsidRPr="002D2880">
              <w:rPr>
                <w:rFonts w:ascii="Arial" w:hAnsi="Arial" w:cs="Arial"/>
                <w:b/>
                <w:sz w:val="18"/>
                <w:szCs w:val="18"/>
                <w:lang w:val="en-US"/>
              </w:rPr>
              <w:t xml:space="preserve">Q1 </w:t>
            </w:r>
            <w:r w:rsidR="009E06E1" w:rsidRPr="002D2880">
              <w:rPr>
                <w:rFonts w:ascii="Arial" w:hAnsi="Arial" w:cs="Arial"/>
                <w:b/>
                <w:sz w:val="18"/>
                <w:szCs w:val="18"/>
                <w:lang w:val="en-US"/>
              </w:rPr>
              <w:t>201</w:t>
            </w:r>
            <w:r w:rsidR="00E8737D">
              <w:rPr>
                <w:rFonts w:ascii="Arial" w:hAnsi="Arial" w:cs="Arial"/>
                <w:b/>
                <w:sz w:val="18"/>
                <w:szCs w:val="18"/>
                <w:lang w:val="en-US"/>
              </w:rPr>
              <w:t>6</w:t>
            </w:r>
          </w:p>
        </w:tc>
        <w:tc>
          <w:tcPr>
            <w:tcW w:w="1276" w:type="dxa"/>
          </w:tcPr>
          <w:p w:rsidR="009E06E1" w:rsidRPr="002D2880" w:rsidRDefault="007F08F8" w:rsidP="00E8737D">
            <w:pPr>
              <w:tabs>
                <w:tab w:val="left" w:pos="8505"/>
              </w:tabs>
              <w:rPr>
                <w:rFonts w:ascii="Arial" w:hAnsi="Arial" w:cs="Arial"/>
                <w:b/>
                <w:sz w:val="18"/>
                <w:szCs w:val="18"/>
                <w:lang w:val="en-US"/>
              </w:rPr>
            </w:pPr>
            <w:r w:rsidRPr="002D2880">
              <w:rPr>
                <w:rFonts w:ascii="Arial" w:hAnsi="Arial" w:cs="Arial"/>
                <w:b/>
                <w:sz w:val="18"/>
                <w:szCs w:val="18"/>
                <w:lang w:val="en-US"/>
              </w:rPr>
              <w:t xml:space="preserve">Q1 </w:t>
            </w:r>
            <w:r w:rsidR="009E06E1" w:rsidRPr="002D2880">
              <w:rPr>
                <w:rFonts w:ascii="Arial" w:hAnsi="Arial" w:cs="Arial"/>
                <w:b/>
                <w:sz w:val="18"/>
                <w:szCs w:val="18"/>
                <w:lang w:val="en-US"/>
              </w:rPr>
              <w:t>201</w:t>
            </w:r>
            <w:r w:rsidR="001D3422">
              <w:rPr>
                <w:rFonts w:ascii="Arial" w:hAnsi="Arial" w:cs="Arial"/>
                <w:b/>
                <w:sz w:val="18"/>
                <w:szCs w:val="18"/>
                <w:lang w:val="en-US"/>
              </w:rPr>
              <w:t>5</w:t>
            </w:r>
            <w:bookmarkStart w:id="0" w:name="_GoBack"/>
            <w:bookmarkEnd w:id="0"/>
          </w:p>
        </w:tc>
        <w:tc>
          <w:tcPr>
            <w:tcW w:w="1276" w:type="dxa"/>
          </w:tcPr>
          <w:p w:rsidR="009E06E1" w:rsidRPr="002D2880" w:rsidRDefault="009E06E1" w:rsidP="009E06E1">
            <w:pPr>
              <w:tabs>
                <w:tab w:val="left" w:pos="8505"/>
              </w:tabs>
              <w:ind w:left="-13" w:right="-108"/>
              <w:rPr>
                <w:rFonts w:ascii="Arial" w:hAnsi="Arial" w:cs="Arial"/>
                <w:b/>
                <w:sz w:val="18"/>
                <w:szCs w:val="18"/>
                <w:lang w:val="en-US"/>
              </w:rPr>
            </w:pPr>
            <w:r w:rsidRPr="002D2880">
              <w:rPr>
                <w:rFonts w:ascii="Arial" w:hAnsi="Arial" w:cs="Arial"/>
                <w:b/>
                <w:sz w:val="18"/>
                <w:szCs w:val="18"/>
                <w:lang w:val="en-US"/>
              </w:rPr>
              <w:t>Change</w:t>
            </w:r>
          </w:p>
        </w:tc>
      </w:tr>
      <w:tr w:rsidR="00E8737D" w:rsidRPr="002D2880" w:rsidTr="00B8338C">
        <w:trPr>
          <w:trHeight w:hRule="exact" w:val="284"/>
        </w:trPr>
        <w:tc>
          <w:tcPr>
            <w:tcW w:w="4077" w:type="dxa"/>
            <w:vAlign w:val="center"/>
          </w:tcPr>
          <w:p w:rsidR="00E8737D" w:rsidRPr="002D2880" w:rsidRDefault="00E8737D" w:rsidP="007F08F8">
            <w:pPr>
              <w:tabs>
                <w:tab w:val="left" w:pos="8505"/>
              </w:tabs>
              <w:rPr>
                <w:lang w:val="en-US"/>
              </w:rPr>
            </w:pPr>
            <w:r w:rsidRPr="007F08F8">
              <w:rPr>
                <w:rFonts w:ascii="Arial" w:hAnsi="Arial"/>
                <w:sz w:val="18"/>
                <w:lang w:val="en-GB"/>
              </w:rPr>
              <w:t>Sales [€ million]</w:t>
            </w:r>
          </w:p>
        </w:tc>
        <w:tc>
          <w:tcPr>
            <w:tcW w:w="1276" w:type="dxa"/>
            <w:vAlign w:val="center"/>
          </w:tcPr>
          <w:p w:rsidR="00E8737D" w:rsidRPr="007D4BEC" w:rsidRDefault="00E8737D" w:rsidP="00E8737D">
            <w:pPr>
              <w:tabs>
                <w:tab w:val="left" w:pos="8505"/>
              </w:tabs>
              <w:jc w:val="right"/>
              <w:rPr>
                <w:rFonts w:ascii="Arial" w:hAnsi="Arial" w:cs="Arial"/>
                <w:sz w:val="18"/>
                <w:szCs w:val="18"/>
              </w:rPr>
            </w:pPr>
            <w:r>
              <w:rPr>
                <w:rFonts w:ascii="Arial" w:hAnsi="Arial"/>
                <w:sz w:val="18"/>
                <w:szCs w:val="18"/>
              </w:rPr>
              <w:t>1,089.3</w:t>
            </w:r>
          </w:p>
        </w:tc>
        <w:tc>
          <w:tcPr>
            <w:tcW w:w="1276" w:type="dxa"/>
            <w:vAlign w:val="center"/>
          </w:tcPr>
          <w:p w:rsidR="00E8737D" w:rsidRPr="007D4BEC" w:rsidRDefault="00E8737D" w:rsidP="00E8737D">
            <w:pPr>
              <w:tabs>
                <w:tab w:val="left" w:pos="8505"/>
              </w:tabs>
              <w:jc w:val="right"/>
              <w:rPr>
                <w:rFonts w:ascii="Arial" w:hAnsi="Arial" w:cs="Arial"/>
                <w:sz w:val="18"/>
                <w:szCs w:val="18"/>
              </w:rPr>
            </w:pPr>
            <w:r>
              <w:rPr>
                <w:rFonts w:ascii="Arial" w:hAnsi="Arial"/>
                <w:sz w:val="18"/>
                <w:szCs w:val="18"/>
              </w:rPr>
              <w:t>1,108.8</w:t>
            </w:r>
          </w:p>
        </w:tc>
        <w:tc>
          <w:tcPr>
            <w:tcW w:w="1276" w:type="dxa"/>
            <w:vAlign w:val="center"/>
          </w:tcPr>
          <w:p w:rsidR="00E8737D" w:rsidRPr="007D4BEC" w:rsidRDefault="00E8737D" w:rsidP="00E8737D">
            <w:pPr>
              <w:tabs>
                <w:tab w:val="left" w:pos="8505"/>
              </w:tabs>
              <w:jc w:val="right"/>
              <w:rPr>
                <w:rFonts w:ascii="Arial" w:hAnsi="Arial" w:cs="Arial"/>
                <w:sz w:val="18"/>
                <w:szCs w:val="18"/>
              </w:rPr>
            </w:pPr>
            <w:r>
              <w:rPr>
                <w:rFonts w:ascii="Arial" w:hAnsi="Arial"/>
                <w:sz w:val="18"/>
                <w:szCs w:val="18"/>
              </w:rPr>
              <w:t>(1.8) %</w:t>
            </w:r>
          </w:p>
        </w:tc>
      </w:tr>
      <w:tr w:rsidR="00E8737D" w:rsidRPr="002D2880" w:rsidTr="00B8338C">
        <w:trPr>
          <w:trHeight w:hRule="exact" w:val="284"/>
        </w:trPr>
        <w:tc>
          <w:tcPr>
            <w:tcW w:w="4077" w:type="dxa"/>
            <w:vAlign w:val="center"/>
          </w:tcPr>
          <w:p w:rsidR="00E8737D" w:rsidRPr="007F08F8" w:rsidRDefault="00E8737D" w:rsidP="007F08F8">
            <w:pPr>
              <w:tabs>
                <w:tab w:val="left" w:pos="8505"/>
              </w:tabs>
            </w:pPr>
            <w:r w:rsidRPr="007F08F8">
              <w:rPr>
                <w:rFonts w:ascii="Arial" w:hAnsi="Arial"/>
                <w:sz w:val="18"/>
                <w:lang w:val="en-GB"/>
              </w:rPr>
              <w:t>EBITDA [€ million]</w:t>
            </w:r>
          </w:p>
        </w:tc>
        <w:tc>
          <w:tcPr>
            <w:tcW w:w="1276" w:type="dxa"/>
            <w:vAlign w:val="center"/>
          </w:tcPr>
          <w:p w:rsidR="00E8737D" w:rsidRDefault="00E8737D" w:rsidP="00E8737D">
            <w:pPr>
              <w:tabs>
                <w:tab w:val="left" w:pos="8505"/>
              </w:tabs>
              <w:jc w:val="right"/>
              <w:rPr>
                <w:rFonts w:ascii="Arial" w:hAnsi="Arial" w:cs="Arial"/>
                <w:sz w:val="18"/>
                <w:szCs w:val="18"/>
              </w:rPr>
            </w:pPr>
            <w:r>
              <w:rPr>
                <w:rFonts w:ascii="Arial" w:hAnsi="Arial"/>
                <w:sz w:val="18"/>
                <w:szCs w:val="18"/>
              </w:rPr>
              <w:t>61.3</w:t>
            </w:r>
          </w:p>
        </w:tc>
        <w:tc>
          <w:tcPr>
            <w:tcW w:w="1276" w:type="dxa"/>
            <w:vAlign w:val="center"/>
          </w:tcPr>
          <w:p w:rsidR="00E8737D" w:rsidRDefault="00E8737D" w:rsidP="00E8737D">
            <w:pPr>
              <w:tabs>
                <w:tab w:val="left" w:pos="8505"/>
              </w:tabs>
              <w:jc w:val="right"/>
              <w:rPr>
                <w:rFonts w:ascii="Arial" w:hAnsi="Arial" w:cs="Arial"/>
                <w:sz w:val="18"/>
                <w:szCs w:val="18"/>
              </w:rPr>
            </w:pPr>
            <w:r>
              <w:rPr>
                <w:rFonts w:ascii="Arial" w:hAnsi="Arial"/>
                <w:sz w:val="18"/>
                <w:szCs w:val="18"/>
              </w:rPr>
              <w:t>68.7</w:t>
            </w:r>
          </w:p>
        </w:tc>
        <w:tc>
          <w:tcPr>
            <w:tcW w:w="1276" w:type="dxa"/>
            <w:vAlign w:val="center"/>
          </w:tcPr>
          <w:p w:rsidR="00E8737D" w:rsidRPr="00E30FC7" w:rsidRDefault="00E8737D" w:rsidP="00E8737D">
            <w:pPr>
              <w:tabs>
                <w:tab w:val="left" w:pos="8505"/>
              </w:tabs>
              <w:jc w:val="right"/>
              <w:rPr>
                <w:rFonts w:ascii="Arial" w:hAnsi="Arial" w:cs="Arial"/>
                <w:sz w:val="18"/>
                <w:szCs w:val="18"/>
              </w:rPr>
            </w:pPr>
            <w:r>
              <w:rPr>
                <w:rFonts w:ascii="Arial" w:hAnsi="Arial"/>
                <w:sz w:val="18"/>
                <w:szCs w:val="18"/>
              </w:rPr>
              <w:t>(10.8) %</w:t>
            </w:r>
          </w:p>
        </w:tc>
      </w:tr>
      <w:tr w:rsidR="00E8737D" w:rsidRPr="00E8737D" w:rsidTr="00B8338C">
        <w:trPr>
          <w:trHeight w:hRule="exact" w:val="284"/>
        </w:trPr>
        <w:tc>
          <w:tcPr>
            <w:tcW w:w="4077" w:type="dxa"/>
            <w:vAlign w:val="center"/>
          </w:tcPr>
          <w:p w:rsidR="00E8737D" w:rsidRPr="008203D4" w:rsidRDefault="00E8737D" w:rsidP="007F08F8">
            <w:pPr>
              <w:tabs>
                <w:tab w:val="left" w:pos="8505"/>
              </w:tabs>
              <w:rPr>
                <w:lang w:val="en-US"/>
              </w:rPr>
            </w:pPr>
            <w:r w:rsidRPr="007F08F8">
              <w:rPr>
                <w:rFonts w:ascii="Arial" w:hAnsi="Arial"/>
                <w:sz w:val="18"/>
                <w:lang w:val="en-GB"/>
              </w:rPr>
              <w:t>EBIT [€ million]</w:t>
            </w:r>
          </w:p>
        </w:tc>
        <w:tc>
          <w:tcPr>
            <w:tcW w:w="1276" w:type="dxa"/>
            <w:vAlign w:val="center"/>
          </w:tcPr>
          <w:p w:rsidR="00E8737D" w:rsidRPr="00E8737D" w:rsidRDefault="00E8737D" w:rsidP="00E8737D">
            <w:pPr>
              <w:tabs>
                <w:tab w:val="left" w:pos="8505"/>
              </w:tabs>
              <w:jc w:val="right"/>
              <w:rPr>
                <w:rFonts w:ascii="Arial" w:hAnsi="Arial" w:cs="Arial"/>
                <w:sz w:val="18"/>
                <w:szCs w:val="18"/>
                <w:lang w:val="en-US"/>
              </w:rPr>
            </w:pPr>
            <w:r w:rsidRPr="00E8737D">
              <w:rPr>
                <w:rFonts w:ascii="Arial" w:hAnsi="Arial"/>
                <w:sz w:val="18"/>
                <w:szCs w:val="18"/>
                <w:lang w:val="en-US"/>
              </w:rPr>
              <w:t>24.4</w:t>
            </w:r>
          </w:p>
        </w:tc>
        <w:tc>
          <w:tcPr>
            <w:tcW w:w="1276" w:type="dxa"/>
            <w:vAlign w:val="center"/>
          </w:tcPr>
          <w:p w:rsidR="00E8737D" w:rsidRPr="00E8737D" w:rsidRDefault="00E8737D" w:rsidP="00E8737D">
            <w:pPr>
              <w:tabs>
                <w:tab w:val="left" w:pos="8505"/>
              </w:tabs>
              <w:jc w:val="right"/>
              <w:rPr>
                <w:rFonts w:ascii="Arial" w:hAnsi="Arial" w:cs="Arial"/>
                <w:sz w:val="18"/>
                <w:szCs w:val="18"/>
                <w:lang w:val="en-US"/>
              </w:rPr>
            </w:pPr>
            <w:r w:rsidRPr="00E8737D">
              <w:rPr>
                <w:rFonts w:ascii="Arial" w:hAnsi="Arial"/>
                <w:sz w:val="18"/>
                <w:szCs w:val="18"/>
                <w:lang w:val="en-US"/>
              </w:rPr>
              <w:t>35</w:t>
            </w:r>
            <w:r>
              <w:rPr>
                <w:rFonts w:ascii="Arial" w:hAnsi="Arial"/>
                <w:sz w:val="18"/>
                <w:szCs w:val="18"/>
                <w:lang w:val="en-US"/>
              </w:rPr>
              <w:t>.</w:t>
            </w:r>
            <w:r w:rsidRPr="00E8737D">
              <w:rPr>
                <w:rFonts w:ascii="Arial" w:hAnsi="Arial"/>
                <w:sz w:val="18"/>
                <w:szCs w:val="18"/>
                <w:lang w:val="en-US"/>
              </w:rPr>
              <w:t>2</w:t>
            </w:r>
          </w:p>
        </w:tc>
        <w:tc>
          <w:tcPr>
            <w:tcW w:w="1276" w:type="dxa"/>
            <w:vAlign w:val="center"/>
          </w:tcPr>
          <w:p w:rsidR="00E8737D" w:rsidRPr="00E8737D" w:rsidRDefault="00E8737D" w:rsidP="00E8737D">
            <w:pPr>
              <w:tabs>
                <w:tab w:val="left" w:pos="8505"/>
              </w:tabs>
              <w:jc w:val="right"/>
              <w:rPr>
                <w:rFonts w:ascii="Arial" w:hAnsi="Arial" w:cs="Arial"/>
                <w:sz w:val="18"/>
                <w:szCs w:val="18"/>
                <w:lang w:val="en-US"/>
              </w:rPr>
            </w:pPr>
            <w:r>
              <w:rPr>
                <w:rFonts w:ascii="Arial" w:hAnsi="Arial"/>
                <w:sz w:val="18"/>
                <w:szCs w:val="18"/>
                <w:lang w:val="en-US"/>
              </w:rPr>
              <w:t>(</w:t>
            </w:r>
            <w:r w:rsidRPr="00E8737D">
              <w:rPr>
                <w:rFonts w:ascii="Arial" w:hAnsi="Arial"/>
                <w:sz w:val="18"/>
                <w:szCs w:val="18"/>
                <w:lang w:val="en-US"/>
              </w:rPr>
              <w:t>30</w:t>
            </w:r>
            <w:r>
              <w:rPr>
                <w:rFonts w:ascii="Arial" w:hAnsi="Arial"/>
                <w:sz w:val="18"/>
                <w:szCs w:val="18"/>
                <w:lang w:val="en-US"/>
              </w:rPr>
              <w:t>.</w:t>
            </w:r>
            <w:r w:rsidRPr="00E8737D">
              <w:rPr>
                <w:rFonts w:ascii="Arial" w:hAnsi="Arial"/>
                <w:sz w:val="18"/>
                <w:szCs w:val="18"/>
                <w:lang w:val="en-US"/>
              </w:rPr>
              <w:t>8</w:t>
            </w:r>
            <w:r>
              <w:rPr>
                <w:rFonts w:ascii="Arial" w:hAnsi="Arial"/>
                <w:sz w:val="18"/>
                <w:szCs w:val="18"/>
                <w:lang w:val="en-US"/>
              </w:rPr>
              <w:t>)</w:t>
            </w:r>
            <w:r w:rsidRPr="00E8737D">
              <w:rPr>
                <w:rFonts w:ascii="Arial" w:hAnsi="Arial"/>
                <w:sz w:val="18"/>
                <w:szCs w:val="18"/>
                <w:lang w:val="en-US"/>
              </w:rPr>
              <w:t xml:space="preserve"> %</w:t>
            </w:r>
          </w:p>
        </w:tc>
      </w:tr>
      <w:tr w:rsidR="00E8737D" w:rsidRPr="00E8737D" w:rsidTr="00B8338C">
        <w:trPr>
          <w:trHeight w:hRule="exact" w:val="284"/>
        </w:trPr>
        <w:tc>
          <w:tcPr>
            <w:tcW w:w="4077" w:type="dxa"/>
            <w:vAlign w:val="center"/>
          </w:tcPr>
          <w:p w:rsidR="00E8737D" w:rsidRPr="008203D4" w:rsidRDefault="00E8737D" w:rsidP="00B260C6">
            <w:pPr>
              <w:tabs>
                <w:tab w:val="left" w:pos="8505"/>
              </w:tabs>
              <w:rPr>
                <w:lang w:val="en-US"/>
              </w:rPr>
            </w:pPr>
            <w:r w:rsidRPr="007F08F8">
              <w:rPr>
                <w:rFonts w:ascii="Arial" w:hAnsi="Arial"/>
                <w:sz w:val="18"/>
                <w:lang w:val="en-GB"/>
              </w:rPr>
              <w:t xml:space="preserve">Adjusted EBIT </w:t>
            </w:r>
            <w:r>
              <w:rPr>
                <w:rFonts w:ascii="Arial" w:hAnsi="Arial"/>
                <w:sz w:val="18"/>
                <w:lang w:val="en-GB"/>
              </w:rPr>
              <w:t>*</w:t>
            </w:r>
            <w:r w:rsidRPr="007F08F8">
              <w:rPr>
                <w:rFonts w:ascii="Arial" w:hAnsi="Arial"/>
                <w:sz w:val="18"/>
                <w:lang w:val="en-GB"/>
              </w:rPr>
              <w:t xml:space="preserve"> [€ million]</w:t>
            </w:r>
          </w:p>
        </w:tc>
        <w:tc>
          <w:tcPr>
            <w:tcW w:w="1276" w:type="dxa"/>
            <w:vAlign w:val="center"/>
          </w:tcPr>
          <w:p w:rsidR="00E8737D" w:rsidRPr="00E8737D" w:rsidRDefault="00E8737D" w:rsidP="00E8737D">
            <w:pPr>
              <w:tabs>
                <w:tab w:val="left" w:pos="8505"/>
              </w:tabs>
              <w:jc w:val="right"/>
              <w:rPr>
                <w:rFonts w:ascii="Arial" w:hAnsi="Arial" w:cs="Arial"/>
                <w:sz w:val="18"/>
                <w:szCs w:val="18"/>
                <w:lang w:val="en-US"/>
              </w:rPr>
            </w:pPr>
            <w:r w:rsidRPr="00E8737D">
              <w:rPr>
                <w:rFonts w:ascii="Arial" w:hAnsi="Arial"/>
                <w:sz w:val="18"/>
                <w:szCs w:val="18"/>
                <w:lang w:val="en-US"/>
              </w:rPr>
              <w:t>28</w:t>
            </w:r>
            <w:r>
              <w:rPr>
                <w:rFonts w:ascii="Arial" w:hAnsi="Arial"/>
                <w:sz w:val="18"/>
                <w:szCs w:val="18"/>
                <w:lang w:val="en-US"/>
              </w:rPr>
              <w:t>.</w:t>
            </w:r>
            <w:r w:rsidRPr="00E8737D">
              <w:rPr>
                <w:rFonts w:ascii="Arial" w:hAnsi="Arial"/>
                <w:sz w:val="18"/>
                <w:szCs w:val="18"/>
                <w:lang w:val="en-US"/>
              </w:rPr>
              <w:t>7</w:t>
            </w:r>
          </w:p>
        </w:tc>
        <w:tc>
          <w:tcPr>
            <w:tcW w:w="1276" w:type="dxa"/>
            <w:vAlign w:val="center"/>
          </w:tcPr>
          <w:p w:rsidR="00E8737D" w:rsidRPr="00E8737D" w:rsidRDefault="00E8737D" w:rsidP="00E8737D">
            <w:pPr>
              <w:tabs>
                <w:tab w:val="left" w:pos="8505"/>
              </w:tabs>
              <w:jc w:val="right"/>
              <w:rPr>
                <w:rFonts w:ascii="Arial" w:hAnsi="Arial" w:cs="Arial"/>
                <w:sz w:val="18"/>
                <w:szCs w:val="18"/>
                <w:lang w:val="en-US"/>
              </w:rPr>
            </w:pPr>
            <w:r w:rsidRPr="00E8737D">
              <w:rPr>
                <w:rFonts w:ascii="Arial" w:hAnsi="Arial"/>
                <w:sz w:val="18"/>
                <w:szCs w:val="18"/>
                <w:lang w:val="en-US"/>
              </w:rPr>
              <w:t>37</w:t>
            </w:r>
            <w:r>
              <w:rPr>
                <w:rFonts w:ascii="Arial" w:hAnsi="Arial"/>
                <w:sz w:val="18"/>
                <w:szCs w:val="18"/>
                <w:lang w:val="en-US"/>
              </w:rPr>
              <w:t>.</w:t>
            </w:r>
            <w:r w:rsidRPr="00E8737D">
              <w:rPr>
                <w:rFonts w:ascii="Arial" w:hAnsi="Arial"/>
                <w:sz w:val="18"/>
                <w:szCs w:val="18"/>
                <w:lang w:val="en-US"/>
              </w:rPr>
              <w:t>9</w:t>
            </w:r>
          </w:p>
        </w:tc>
        <w:tc>
          <w:tcPr>
            <w:tcW w:w="1276" w:type="dxa"/>
            <w:vAlign w:val="center"/>
          </w:tcPr>
          <w:p w:rsidR="00E8737D" w:rsidRPr="00E8737D" w:rsidRDefault="00E8737D" w:rsidP="00E8737D">
            <w:pPr>
              <w:tabs>
                <w:tab w:val="left" w:pos="8505"/>
              </w:tabs>
              <w:jc w:val="right"/>
              <w:rPr>
                <w:rFonts w:ascii="Arial" w:hAnsi="Arial" w:cs="Arial"/>
                <w:sz w:val="18"/>
                <w:szCs w:val="18"/>
                <w:lang w:val="en-US"/>
              </w:rPr>
            </w:pPr>
            <w:r>
              <w:rPr>
                <w:rFonts w:ascii="Arial" w:hAnsi="Arial"/>
                <w:sz w:val="18"/>
                <w:szCs w:val="18"/>
                <w:lang w:val="en-US"/>
              </w:rPr>
              <w:t>(</w:t>
            </w:r>
            <w:r w:rsidRPr="00E8737D">
              <w:rPr>
                <w:rFonts w:ascii="Arial" w:hAnsi="Arial"/>
                <w:sz w:val="18"/>
                <w:szCs w:val="18"/>
                <w:lang w:val="en-US"/>
              </w:rPr>
              <w:t>24</w:t>
            </w:r>
            <w:r>
              <w:rPr>
                <w:rFonts w:ascii="Arial" w:hAnsi="Arial"/>
                <w:sz w:val="18"/>
                <w:szCs w:val="18"/>
                <w:lang w:val="en-US"/>
              </w:rPr>
              <w:t>.</w:t>
            </w:r>
            <w:r w:rsidRPr="00E8737D">
              <w:rPr>
                <w:rFonts w:ascii="Arial" w:hAnsi="Arial"/>
                <w:sz w:val="18"/>
                <w:szCs w:val="18"/>
                <w:lang w:val="en-US"/>
              </w:rPr>
              <w:t>3</w:t>
            </w:r>
            <w:r>
              <w:rPr>
                <w:rFonts w:ascii="Arial" w:hAnsi="Arial"/>
                <w:sz w:val="18"/>
                <w:szCs w:val="18"/>
                <w:lang w:val="en-US"/>
              </w:rPr>
              <w:t>)</w:t>
            </w:r>
            <w:r w:rsidRPr="00E8737D">
              <w:rPr>
                <w:rFonts w:ascii="Arial" w:hAnsi="Arial"/>
                <w:sz w:val="18"/>
                <w:szCs w:val="18"/>
                <w:lang w:val="en-US"/>
              </w:rPr>
              <w:t xml:space="preserve"> %</w:t>
            </w:r>
          </w:p>
        </w:tc>
      </w:tr>
      <w:tr w:rsidR="00E8737D" w:rsidRPr="00E8737D" w:rsidTr="00B8338C">
        <w:trPr>
          <w:trHeight w:hRule="exact" w:val="284"/>
        </w:trPr>
        <w:tc>
          <w:tcPr>
            <w:tcW w:w="4077" w:type="dxa"/>
            <w:vAlign w:val="center"/>
          </w:tcPr>
          <w:p w:rsidR="00E8737D" w:rsidRPr="002D2880" w:rsidRDefault="00E8737D" w:rsidP="002D2880">
            <w:pPr>
              <w:tabs>
                <w:tab w:val="left" w:pos="8505"/>
              </w:tabs>
              <w:rPr>
                <w:lang w:val="en-US"/>
              </w:rPr>
            </w:pPr>
            <w:r w:rsidRPr="002D2880">
              <w:rPr>
                <w:rFonts w:ascii="Arial" w:hAnsi="Arial" w:cs="Arial"/>
                <w:sz w:val="18"/>
                <w:szCs w:val="18"/>
                <w:lang w:val="en-US"/>
              </w:rPr>
              <w:t xml:space="preserve">EBT </w:t>
            </w:r>
            <w:r w:rsidRPr="002D2880">
              <w:rPr>
                <w:rFonts w:ascii="Arial" w:hAnsi="Arial"/>
                <w:sz w:val="18"/>
                <w:lang w:val="en-US"/>
              </w:rPr>
              <w:t xml:space="preserve"> [€ million]</w:t>
            </w:r>
          </w:p>
        </w:tc>
        <w:tc>
          <w:tcPr>
            <w:tcW w:w="1276" w:type="dxa"/>
            <w:vAlign w:val="center"/>
          </w:tcPr>
          <w:p w:rsidR="00E8737D" w:rsidRPr="00E8737D" w:rsidRDefault="00E8737D" w:rsidP="00E8737D">
            <w:pPr>
              <w:tabs>
                <w:tab w:val="left" w:pos="8505"/>
              </w:tabs>
              <w:jc w:val="right"/>
              <w:rPr>
                <w:rFonts w:ascii="Arial" w:hAnsi="Arial" w:cs="Arial"/>
                <w:sz w:val="18"/>
                <w:szCs w:val="18"/>
                <w:lang w:val="en-US"/>
              </w:rPr>
            </w:pPr>
            <w:r w:rsidRPr="00E8737D">
              <w:rPr>
                <w:rFonts w:ascii="Arial" w:hAnsi="Arial"/>
                <w:sz w:val="18"/>
                <w:szCs w:val="18"/>
                <w:lang w:val="en-US"/>
              </w:rPr>
              <w:t>18</w:t>
            </w:r>
            <w:r>
              <w:rPr>
                <w:rFonts w:ascii="Arial" w:hAnsi="Arial"/>
                <w:sz w:val="18"/>
                <w:szCs w:val="18"/>
                <w:lang w:val="en-US"/>
              </w:rPr>
              <w:t>.</w:t>
            </w:r>
            <w:r w:rsidRPr="00E8737D">
              <w:rPr>
                <w:rFonts w:ascii="Arial" w:hAnsi="Arial"/>
                <w:sz w:val="18"/>
                <w:szCs w:val="18"/>
                <w:lang w:val="en-US"/>
              </w:rPr>
              <w:t>9</w:t>
            </w:r>
          </w:p>
        </w:tc>
        <w:tc>
          <w:tcPr>
            <w:tcW w:w="1276" w:type="dxa"/>
            <w:vAlign w:val="center"/>
          </w:tcPr>
          <w:p w:rsidR="00E8737D" w:rsidRPr="00E8737D" w:rsidRDefault="00E8737D" w:rsidP="00E8737D">
            <w:pPr>
              <w:tabs>
                <w:tab w:val="left" w:pos="8505"/>
              </w:tabs>
              <w:jc w:val="right"/>
              <w:rPr>
                <w:rFonts w:ascii="Arial" w:hAnsi="Arial" w:cs="Arial"/>
                <w:sz w:val="18"/>
                <w:szCs w:val="18"/>
                <w:lang w:val="en-US"/>
              </w:rPr>
            </w:pPr>
            <w:r w:rsidRPr="00E8737D">
              <w:rPr>
                <w:rFonts w:ascii="Arial" w:hAnsi="Arial"/>
                <w:sz w:val="18"/>
                <w:szCs w:val="18"/>
                <w:lang w:val="en-US"/>
              </w:rPr>
              <w:t>27</w:t>
            </w:r>
            <w:r>
              <w:rPr>
                <w:rFonts w:ascii="Arial" w:hAnsi="Arial"/>
                <w:sz w:val="18"/>
                <w:szCs w:val="18"/>
                <w:lang w:val="en-US"/>
              </w:rPr>
              <w:t>.</w:t>
            </w:r>
            <w:r w:rsidRPr="00E8737D">
              <w:rPr>
                <w:rFonts w:ascii="Arial" w:hAnsi="Arial"/>
                <w:sz w:val="18"/>
                <w:szCs w:val="18"/>
                <w:lang w:val="en-US"/>
              </w:rPr>
              <w:t xml:space="preserve">8 </w:t>
            </w:r>
          </w:p>
        </w:tc>
        <w:tc>
          <w:tcPr>
            <w:tcW w:w="1276" w:type="dxa"/>
            <w:vAlign w:val="center"/>
          </w:tcPr>
          <w:p w:rsidR="00E8737D" w:rsidRPr="00E8737D" w:rsidRDefault="00E8737D" w:rsidP="00E8737D">
            <w:pPr>
              <w:tabs>
                <w:tab w:val="left" w:pos="8505"/>
              </w:tabs>
              <w:jc w:val="right"/>
              <w:rPr>
                <w:rFonts w:ascii="Arial" w:hAnsi="Arial" w:cs="Arial"/>
                <w:sz w:val="18"/>
                <w:szCs w:val="18"/>
                <w:lang w:val="en-US"/>
              </w:rPr>
            </w:pPr>
            <w:r>
              <w:rPr>
                <w:rFonts w:ascii="Arial" w:hAnsi="Arial"/>
                <w:sz w:val="18"/>
                <w:szCs w:val="18"/>
                <w:lang w:val="en-US"/>
              </w:rPr>
              <w:t>(</w:t>
            </w:r>
            <w:r w:rsidRPr="00E8737D">
              <w:rPr>
                <w:rFonts w:ascii="Arial" w:hAnsi="Arial"/>
                <w:sz w:val="18"/>
                <w:szCs w:val="18"/>
                <w:lang w:val="en-US"/>
              </w:rPr>
              <w:t>32</w:t>
            </w:r>
            <w:r>
              <w:rPr>
                <w:rFonts w:ascii="Arial" w:hAnsi="Arial"/>
                <w:sz w:val="18"/>
                <w:szCs w:val="18"/>
                <w:lang w:val="en-US"/>
              </w:rPr>
              <w:t>.</w:t>
            </w:r>
            <w:r w:rsidRPr="00E8737D">
              <w:rPr>
                <w:rFonts w:ascii="Arial" w:hAnsi="Arial"/>
                <w:sz w:val="18"/>
                <w:szCs w:val="18"/>
                <w:lang w:val="en-US"/>
              </w:rPr>
              <w:t>2</w:t>
            </w:r>
            <w:r>
              <w:rPr>
                <w:rFonts w:ascii="Arial" w:hAnsi="Arial"/>
                <w:sz w:val="18"/>
                <w:szCs w:val="18"/>
                <w:lang w:val="en-US"/>
              </w:rPr>
              <w:t>)</w:t>
            </w:r>
            <w:r w:rsidRPr="00E8737D">
              <w:rPr>
                <w:rFonts w:ascii="Arial" w:hAnsi="Arial"/>
                <w:sz w:val="18"/>
                <w:szCs w:val="18"/>
                <w:lang w:val="en-US"/>
              </w:rPr>
              <w:t xml:space="preserve"> %</w:t>
            </w:r>
          </w:p>
        </w:tc>
      </w:tr>
      <w:tr w:rsidR="00E8737D" w:rsidRPr="00E8737D" w:rsidTr="00B8338C">
        <w:trPr>
          <w:trHeight w:hRule="exact" w:val="284"/>
        </w:trPr>
        <w:tc>
          <w:tcPr>
            <w:tcW w:w="4077" w:type="dxa"/>
            <w:vAlign w:val="center"/>
          </w:tcPr>
          <w:p w:rsidR="00E8737D" w:rsidRPr="00B260C6" w:rsidRDefault="00E8737D" w:rsidP="007F08F8">
            <w:pPr>
              <w:tabs>
                <w:tab w:val="left" w:pos="8505"/>
              </w:tabs>
              <w:rPr>
                <w:lang w:val="en-US"/>
              </w:rPr>
            </w:pPr>
            <w:r w:rsidRPr="007F08F8">
              <w:rPr>
                <w:rFonts w:ascii="Arial" w:hAnsi="Arial"/>
                <w:sz w:val="18"/>
                <w:lang w:val="en-GB"/>
              </w:rPr>
              <w:t>Consolidated net income [€ million]</w:t>
            </w:r>
          </w:p>
        </w:tc>
        <w:tc>
          <w:tcPr>
            <w:tcW w:w="1276" w:type="dxa"/>
            <w:vAlign w:val="center"/>
          </w:tcPr>
          <w:p w:rsidR="00E8737D" w:rsidRPr="00E8737D" w:rsidRDefault="00E8737D" w:rsidP="00E8737D">
            <w:pPr>
              <w:tabs>
                <w:tab w:val="left" w:pos="8505"/>
              </w:tabs>
              <w:jc w:val="right"/>
              <w:rPr>
                <w:rFonts w:ascii="Arial" w:hAnsi="Arial" w:cs="Arial"/>
                <w:sz w:val="18"/>
                <w:szCs w:val="18"/>
                <w:lang w:val="en-US"/>
              </w:rPr>
            </w:pPr>
            <w:r w:rsidRPr="00E8737D">
              <w:rPr>
                <w:rFonts w:ascii="Arial" w:hAnsi="Arial"/>
                <w:sz w:val="18"/>
                <w:szCs w:val="18"/>
                <w:lang w:val="en-US"/>
              </w:rPr>
              <w:t>11.6</w:t>
            </w:r>
          </w:p>
        </w:tc>
        <w:tc>
          <w:tcPr>
            <w:tcW w:w="1276" w:type="dxa"/>
            <w:vAlign w:val="center"/>
          </w:tcPr>
          <w:p w:rsidR="00E8737D" w:rsidRPr="00E8737D" w:rsidRDefault="00E8737D" w:rsidP="00E8737D">
            <w:pPr>
              <w:tabs>
                <w:tab w:val="left" w:pos="8505"/>
              </w:tabs>
              <w:jc w:val="right"/>
              <w:rPr>
                <w:rFonts w:ascii="Arial" w:hAnsi="Arial" w:cs="Arial"/>
                <w:sz w:val="18"/>
                <w:szCs w:val="18"/>
                <w:lang w:val="en-US"/>
              </w:rPr>
            </w:pPr>
            <w:r w:rsidRPr="00E8737D">
              <w:rPr>
                <w:rFonts w:ascii="Arial" w:hAnsi="Arial"/>
                <w:sz w:val="18"/>
                <w:szCs w:val="18"/>
                <w:lang w:val="en-US"/>
              </w:rPr>
              <w:t>16</w:t>
            </w:r>
            <w:r>
              <w:rPr>
                <w:rFonts w:ascii="Arial" w:hAnsi="Arial"/>
                <w:sz w:val="18"/>
                <w:szCs w:val="18"/>
                <w:lang w:val="en-US"/>
              </w:rPr>
              <w:t>.</w:t>
            </w:r>
            <w:r w:rsidRPr="00E8737D">
              <w:rPr>
                <w:rFonts w:ascii="Arial" w:hAnsi="Arial"/>
                <w:sz w:val="18"/>
                <w:szCs w:val="18"/>
                <w:lang w:val="en-US"/>
              </w:rPr>
              <w:t>8</w:t>
            </w:r>
          </w:p>
        </w:tc>
        <w:tc>
          <w:tcPr>
            <w:tcW w:w="1276" w:type="dxa"/>
            <w:vAlign w:val="center"/>
          </w:tcPr>
          <w:p w:rsidR="00E8737D" w:rsidRPr="00E8737D" w:rsidRDefault="00E8737D" w:rsidP="00E8737D">
            <w:pPr>
              <w:tabs>
                <w:tab w:val="left" w:pos="8505"/>
              </w:tabs>
              <w:jc w:val="right"/>
              <w:rPr>
                <w:rFonts w:ascii="Arial" w:hAnsi="Arial" w:cs="Arial"/>
                <w:sz w:val="18"/>
                <w:szCs w:val="18"/>
                <w:lang w:val="en-US"/>
              </w:rPr>
            </w:pPr>
            <w:r>
              <w:rPr>
                <w:rFonts w:ascii="Arial" w:hAnsi="Arial"/>
                <w:sz w:val="18"/>
                <w:szCs w:val="18"/>
                <w:lang w:val="en-US"/>
              </w:rPr>
              <w:t>(</w:t>
            </w:r>
            <w:r w:rsidRPr="00E8737D">
              <w:rPr>
                <w:rFonts w:ascii="Arial" w:hAnsi="Arial"/>
                <w:sz w:val="18"/>
                <w:szCs w:val="18"/>
                <w:lang w:val="en-US"/>
              </w:rPr>
              <w:t>31</w:t>
            </w:r>
            <w:r>
              <w:rPr>
                <w:rFonts w:ascii="Arial" w:hAnsi="Arial"/>
                <w:sz w:val="18"/>
                <w:szCs w:val="18"/>
                <w:lang w:val="en-US"/>
              </w:rPr>
              <w:t>.</w:t>
            </w:r>
            <w:r w:rsidRPr="00E8737D">
              <w:rPr>
                <w:rFonts w:ascii="Arial" w:hAnsi="Arial"/>
                <w:sz w:val="18"/>
                <w:szCs w:val="18"/>
                <w:lang w:val="en-US"/>
              </w:rPr>
              <w:t>0</w:t>
            </w:r>
            <w:r>
              <w:rPr>
                <w:rFonts w:ascii="Arial" w:hAnsi="Arial"/>
                <w:sz w:val="18"/>
                <w:szCs w:val="18"/>
                <w:lang w:val="en-US"/>
              </w:rPr>
              <w:t>)</w:t>
            </w:r>
            <w:r w:rsidRPr="00E8737D">
              <w:rPr>
                <w:rFonts w:ascii="Arial" w:hAnsi="Arial"/>
                <w:sz w:val="18"/>
                <w:szCs w:val="18"/>
                <w:lang w:val="en-US"/>
              </w:rPr>
              <w:t xml:space="preserve"> %</w:t>
            </w:r>
          </w:p>
        </w:tc>
      </w:tr>
      <w:tr w:rsidR="00E8737D" w:rsidRPr="00E8737D" w:rsidTr="00B8338C">
        <w:trPr>
          <w:trHeight w:hRule="exact" w:val="284"/>
        </w:trPr>
        <w:tc>
          <w:tcPr>
            <w:tcW w:w="4077" w:type="dxa"/>
            <w:vAlign w:val="center"/>
          </w:tcPr>
          <w:p w:rsidR="00E8737D" w:rsidRPr="008203D4" w:rsidRDefault="00E8737D" w:rsidP="00B260C6">
            <w:pPr>
              <w:tabs>
                <w:tab w:val="left" w:pos="8505"/>
              </w:tabs>
              <w:rPr>
                <w:lang w:val="en-US"/>
              </w:rPr>
            </w:pPr>
            <w:r w:rsidRPr="007F08F8">
              <w:rPr>
                <w:rFonts w:ascii="Arial" w:hAnsi="Arial"/>
                <w:sz w:val="18"/>
                <w:lang w:val="en-GB"/>
              </w:rPr>
              <w:t>Capex [€ million]</w:t>
            </w:r>
          </w:p>
        </w:tc>
        <w:tc>
          <w:tcPr>
            <w:tcW w:w="1276" w:type="dxa"/>
            <w:vAlign w:val="center"/>
          </w:tcPr>
          <w:p w:rsidR="00E8737D" w:rsidRPr="00E8737D" w:rsidRDefault="00E8737D" w:rsidP="00E8737D">
            <w:pPr>
              <w:tabs>
                <w:tab w:val="left" w:pos="8505"/>
              </w:tabs>
              <w:jc w:val="right"/>
              <w:rPr>
                <w:rFonts w:ascii="Arial" w:hAnsi="Arial" w:cs="Arial"/>
                <w:sz w:val="18"/>
                <w:szCs w:val="18"/>
                <w:lang w:val="en-US"/>
              </w:rPr>
            </w:pPr>
            <w:r w:rsidRPr="00E8737D">
              <w:rPr>
                <w:rFonts w:ascii="Arial" w:hAnsi="Arial"/>
                <w:sz w:val="18"/>
                <w:szCs w:val="18"/>
                <w:lang w:val="en-US"/>
              </w:rPr>
              <w:t>38</w:t>
            </w:r>
            <w:r>
              <w:rPr>
                <w:rFonts w:ascii="Arial" w:hAnsi="Arial"/>
                <w:sz w:val="18"/>
                <w:szCs w:val="18"/>
                <w:lang w:val="en-US"/>
              </w:rPr>
              <w:t>.</w:t>
            </w:r>
            <w:r w:rsidRPr="00E8737D">
              <w:rPr>
                <w:rFonts w:ascii="Arial" w:hAnsi="Arial"/>
                <w:sz w:val="18"/>
                <w:szCs w:val="18"/>
                <w:lang w:val="en-US"/>
              </w:rPr>
              <w:t>8</w:t>
            </w:r>
          </w:p>
        </w:tc>
        <w:tc>
          <w:tcPr>
            <w:tcW w:w="1276" w:type="dxa"/>
            <w:vAlign w:val="center"/>
          </w:tcPr>
          <w:p w:rsidR="00E8737D" w:rsidRPr="00E8737D" w:rsidRDefault="00E8737D" w:rsidP="00E8737D">
            <w:pPr>
              <w:tabs>
                <w:tab w:val="left" w:pos="8505"/>
              </w:tabs>
              <w:jc w:val="right"/>
              <w:rPr>
                <w:rFonts w:ascii="Arial" w:hAnsi="Arial" w:cs="Arial"/>
                <w:sz w:val="18"/>
                <w:szCs w:val="18"/>
                <w:lang w:val="en-US"/>
              </w:rPr>
            </w:pPr>
            <w:r w:rsidRPr="00E8737D">
              <w:rPr>
                <w:rFonts w:ascii="Arial" w:hAnsi="Arial"/>
                <w:sz w:val="18"/>
                <w:szCs w:val="18"/>
                <w:lang w:val="en-US"/>
              </w:rPr>
              <w:t>38</w:t>
            </w:r>
            <w:r>
              <w:rPr>
                <w:rFonts w:ascii="Arial" w:hAnsi="Arial"/>
                <w:sz w:val="18"/>
                <w:szCs w:val="18"/>
                <w:lang w:val="en-US"/>
              </w:rPr>
              <w:t>.</w:t>
            </w:r>
            <w:r w:rsidRPr="00E8737D">
              <w:rPr>
                <w:rFonts w:ascii="Arial" w:hAnsi="Arial"/>
                <w:sz w:val="18"/>
                <w:szCs w:val="18"/>
                <w:lang w:val="en-US"/>
              </w:rPr>
              <w:t>1</w:t>
            </w:r>
          </w:p>
        </w:tc>
        <w:tc>
          <w:tcPr>
            <w:tcW w:w="1276" w:type="dxa"/>
            <w:vAlign w:val="center"/>
          </w:tcPr>
          <w:p w:rsidR="00E8737D" w:rsidRPr="00E8737D" w:rsidRDefault="00E8737D" w:rsidP="00E8737D">
            <w:pPr>
              <w:tabs>
                <w:tab w:val="left" w:pos="8505"/>
              </w:tabs>
              <w:jc w:val="right"/>
              <w:rPr>
                <w:rFonts w:ascii="Arial" w:hAnsi="Arial" w:cs="Arial"/>
                <w:sz w:val="18"/>
                <w:szCs w:val="18"/>
                <w:lang w:val="en-US"/>
              </w:rPr>
            </w:pPr>
            <w:r w:rsidRPr="00E8737D">
              <w:rPr>
                <w:rFonts w:ascii="Arial" w:hAnsi="Arial"/>
                <w:sz w:val="18"/>
                <w:szCs w:val="18"/>
                <w:lang w:val="en-US"/>
              </w:rPr>
              <w:t>1</w:t>
            </w:r>
            <w:r>
              <w:rPr>
                <w:rFonts w:ascii="Arial" w:hAnsi="Arial"/>
                <w:sz w:val="18"/>
                <w:szCs w:val="18"/>
                <w:lang w:val="en-US"/>
              </w:rPr>
              <w:t>.</w:t>
            </w:r>
            <w:r w:rsidRPr="00E8737D">
              <w:rPr>
                <w:rFonts w:ascii="Arial" w:hAnsi="Arial"/>
                <w:sz w:val="18"/>
                <w:szCs w:val="18"/>
                <w:lang w:val="en-US"/>
              </w:rPr>
              <w:t>8 %</w:t>
            </w:r>
          </w:p>
        </w:tc>
      </w:tr>
      <w:tr w:rsidR="00E8737D" w:rsidRPr="00E8737D" w:rsidTr="007F08F8">
        <w:trPr>
          <w:trHeight w:hRule="exact" w:val="284"/>
        </w:trPr>
        <w:tc>
          <w:tcPr>
            <w:tcW w:w="4077" w:type="dxa"/>
            <w:vAlign w:val="center"/>
          </w:tcPr>
          <w:p w:rsidR="00E8737D" w:rsidRPr="007F08F8" w:rsidRDefault="00E8737D" w:rsidP="007F08F8">
            <w:pPr>
              <w:tabs>
                <w:tab w:val="left" w:pos="8505"/>
              </w:tabs>
              <w:rPr>
                <w:rFonts w:ascii="Arial" w:hAnsi="Arial"/>
                <w:sz w:val="18"/>
                <w:lang w:val="en-GB"/>
              </w:rPr>
            </w:pPr>
            <w:r w:rsidRPr="007F08F8">
              <w:rPr>
                <w:rFonts w:ascii="Arial" w:hAnsi="Arial"/>
                <w:sz w:val="18"/>
                <w:lang w:val="en-GB"/>
              </w:rPr>
              <w:t>Equity ratio [%]</w:t>
            </w:r>
          </w:p>
        </w:tc>
        <w:tc>
          <w:tcPr>
            <w:tcW w:w="1276" w:type="dxa"/>
            <w:vAlign w:val="center"/>
          </w:tcPr>
          <w:p w:rsidR="00E8737D" w:rsidRPr="00E8737D" w:rsidRDefault="00E8737D" w:rsidP="00E8737D">
            <w:pPr>
              <w:tabs>
                <w:tab w:val="left" w:pos="8505"/>
              </w:tabs>
              <w:jc w:val="right"/>
              <w:rPr>
                <w:rFonts w:ascii="Arial" w:hAnsi="Arial" w:cs="Arial"/>
                <w:sz w:val="18"/>
                <w:szCs w:val="18"/>
                <w:lang w:val="en-US"/>
              </w:rPr>
            </w:pPr>
            <w:r w:rsidRPr="00E8737D">
              <w:rPr>
                <w:rFonts w:ascii="Arial" w:hAnsi="Arial"/>
                <w:sz w:val="18"/>
                <w:szCs w:val="18"/>
                <w:lang w:val="en-US"/>
              </w:rPr>
              <w:t>34</w:t>
            </w:r>
            <w:r>
              <w:rPr>
                <w:rFonts w:ascii="Arial" w:hAnsi="Arial"/>
                <w:sz w:val="18"/>
                <w:szCs w:val="18"/>
                <w:lang w:val="en-US"/>
              </w:rPr>
              <w:t>.</w:t>
            </w:r>
            <w:r w:rsidRPr="00E8737D">
              <w:rPr>
                <w:rFonts w:ascii="Arial" w:hAnsi="Arial"/>
                <w:sz w:val="18"/>
                <w:szCs w:val="18"/>
                <w:lang w:val="en-US"/>
              </w:rPr>
              <w:t>1</w:t>
            </w:r>
          </w:p>
        </w:tc>
        <w:tc>
          <w:tcPr>
            <w:tcW w:w="1276" w:type="dxa"/>
            <w:vAlign w:val="center"/>
          </w:tcPr>
          <w:p w:rsidR="00E8737D" w:rsidRPr="00E8737D" w:rsidRDefault="00E8737D" w:rsidP="00E8737D">
            <w:pPr>
              <w:tabs>
                <w:tab w:val="left" w:pos="8505"/>
              </w:tabs>
              <w:jc w:val="right"/>
              <w:rPr>
                <w:rFonts w:ascii="Arial" w:hAnsi="Arial" w:cs="Arial"/>
                <w:sz w:val="18"/>
                <w:szCs w:val="18"/>
                <w:lang w:val="en-US"/>
              </w:rPr>
            </w:pPr>
            <w:r w:rsidRPr="00E8737D">
              <w:rPr>
                <w:rFonts w:ascii="Arial" w:hAnsi="Arial"/>
                <w:sz w:val="18"/>
                <w:szCs w:val="18"/>
                <w:lang w:val="en-US"/>
              </w:rPr>
              <w:t>33</w:t>
            </w:r>
            <w:r>
              <w:rPr>
                <w:rFonts w:ascii="Arial" w:hAnsi="Arial"/>
                <w:sz w:val="18"/>
                <w:szCs w:val="18"/>
                <w:lang w:val="en-US"/>
              </w:rPr>
              <w:t>.</w:t>
            </w:r>
            <w:r w:rsidRPr="00E8737D">
              <w:rPr>
                <w:rFonts w:ascii="Arial" w:hAnsi="Arial"/>
                <w:sz w:val="18"/>
                <w:szCs w:val="18"/>
                <w:lang w:val="en-US"/>
              </w:rPr>
              <w:t xml:space="preserve">3 </w:t>
            </w:r>
          </w:p>
        </w:tc>
        <w:tc>
          <w:tcPr>
            <w:tcW w:w="1276" w:type="dxa"/>
            <w:vAlign w:val="center"/>
          </w:tcPr>
          <w:p w:rsidR="00E8737D" w:rsidRPr="00E8737D" w:rsidRDefault="00E8737D" w:rsidP="00B124BD">
            <w:pPr>
              <w:tabs>
                <w:tab w:val="left" w:pos="8505"/>
              </w:tabs>
              <w:jc w:val="right"/>
              <w:rPr>
                <w:rFonts w:ascii="Arial" w:hAnsi="Arial" w:cs="Arial"/>
                <w:sz w:val="18"/>
                <w:szCs w:val="18"/>
                <w:lang w:val="en-US"/>
              </w:rPr>
            </w:pPr>
            <w:r w:rsidRPr="00E8737D">
              <w:rPr>
                <w:rFonts w:ascii="Arial" w:hAnsi="Arial"/>
                <w:sz w:val="18"/>
                <w:szCs w:val="18"/>
                <w:lang w:val="en-US"/>
              </w:rPr>
              <w:t>--</w:t>
            </w:r>
          </w:p>
        </w:tc>
      </w:tr>
      <w:tr w:rsidR="00E8737D" w:rsidRPr="00E8737D" w:rsidTr="00B8338C">
        <w:trPr>
          <w:trHeight w:hRule="exact" w:val="284"/>
        </w:trPr>
        <w:tc>
          <w:tcPr>
            <w:tcW w:w="4077" w:type="dxa"/>
            <w:vAlign w:val="center"/>
          </w:tcPr>
          <w:p w:rsidR="00E8737D" w:rsidRPr="008203D4" w:rsidRDefault="00E8737D" w:rsidP="007F08F8">
            <w:pPr>
              <w:tabs>
                <w:tab w:val="left" w:pos="8505"/>
              </w:tabs>
              <w:rPr>
                <w:lang w:val="en-US"/>
              </w:rPr>
            </w:pPr>
            <w:r w:rsidRPr="007F08F8">
              <w:rPr>
                <w:rFonts w:ascii="Arial" w:hAnsi="Arial"/>
                <w:sz w:val="18"/>
                <w:lang w:val="en-GB"/>
              </w:rPr>
              <w:t>Earnings per share [€]</w:t>
            </w:r>
          </w:p>
        </w:tc>
        <w:tc>
          <w:tcPr>
            <w:tcW w:w="1276" w:type="dxa"/>
            <w:vAlign w:val="center"/>
          </w:tcPr>
          <w:p w:rsidR="00E8737D" w:rsidRPr="00E8737D" w:rsidRDefault="00E8737D" w:rsidP="00E8737D">
            <w:pPr>
              <w:tabs>
                <w:tab w:val="left" w:pos="8505"/>
              </w:tabs>
              <w:jc w:val="right"/>
              <w:rPr>
                <w:rFonts w:ascii="Arial" w:hAnsi="Arial" w:cs="Arial"/>
                <w:sz w:val="18"/>
                <w:szCs w:val="18"/>
                <w:lang w:val="en-US"/>
              </w:rPr>
            </w:pPr>
            <w:r w:rsidRPr="00E8737D">
              <w:rPr>
                <w:rFonts w:ascii="Arial" w:hAnsi="Arial"/>
                <w:sz w:val="18"/>
                <w:szCs w:val="18"/>
                <w:lang w:val="en-US"/>
              </w:rPr>
              <w:t>0</w:t>
            </w:r>
            <w:r>
              <w:rPr>
                <w:rFonts w:ascii="Arial" w:hAnsi="Arial"/>
                <w:sz w:val="18"/>
                <w:szCs w:val="18"/>
                <w:lang w:val="en-US"/>
              </w:rPr>
              <w:t>.</w:t>
            </w:r>
            <w:r w:rsidRPr="00E8737D">
              <w:rPr>
                <w:rFonts w:ascii="Arial" w:hAnsi="Arial"/>
                <w:sz w:val="18"/>
                <w:szCs w:val="18"/>
                <w:lang w:val="en-US"/>
              </w:rPr>
              <w:t>35</w:t>
            </w:r>
          </w:p>
        </w:tc>
        <w:tc>
          <w:tcPr>
            <w:tcW w:w="1276" w:type="dxa"/>
            <w:vAlign w:val="center"/>
          </w:tcPr>
          <w:p w:rsidR="00E8737D" w:rsidRPr="00E8737D" w:rsidRDefault="00E8737D" w:rsidP="00E8737D">
            <w:pPr>
              <w:tabs>
                <w:tab w:val="left" w:pos="8505"/>
              </w:tabs>
              <w:jc w:val="right"/>
              <w:rPr>
                <w:rFonts w:ascii="Arial" w:hAnsi="Arial" w:cs="Arial"/>
                <w:sz w:val="18"/>
                <w:szCs w:val="18"/>
                <w:lang w:val="en-US"/>
              </w:rPr>
            </w:pPr>
            <w:r w:rsidRPr="00E8737D">
              <w:rPr>
                <w:rFonts w:ascii="Arial" w:hAnsi="Arial"/>
                <w:sz w:val="18"/>
                <w:szCs w:val="18"/>
                <w:lang w:val="en-US"/>
              </w:rPr>
              <w:t>0</w:t>
            </w:r>
            <w:r>
              <w:rPr>
                <w:rFonts w:ascii="Arial" w:hAnsi="Arial"/>
                <w:sz w:val="18"/>
                <w:szCs w:val="18"/>
                <w:lang w:val="en-US"/>
              </w:rPr>
              <w:t>.</w:t>
            </w:r>
            <w:r w:rsidRPr="00E8737D">
              <w:rPr>
                <w:rFonts w:ascii="Arial" w:hAnsi="Arial"/>
                <w:sz w:val="18"/>
                <w:szCs w:val="18"/>
                <w:lang w:val="en-US"/>
              </w:rPr>
              <w:t>51</w:t>
            </w:r>
          </w:p>
        </w:tc>
        <w:tc>
          <w:tcPr>
            <w:tcW w:w="1276" w:type="dxa"/>
            <w:vAlign w:val="center"/>
          </w:tcPr>
          <w:p w:rsidR="00E8737D" w:rsidRPr="00E8737D" w:rsidRDefault="00E8737D" w:rsidP="00E8737D">
            <w:pPr>
              <w:tabs>
                <w:tab w:val="left" w:pos="8505"/>
              </w:tabs>
              <w:jc w:val="right"/>
              <w:rPr>
                <w:rFonts w:ascii="Arial" w:hAnsi="Arial" w:cs="Arial"/>
                <w:sz w:val="18"/>
                <w:szCs w:val="18"/>
                <w:lang w:val="en-US"/>
              </w:rPr>
            </w:pPr>
            <w:r>
              <w:rPr>
                <w:rFonts w:ascii="Arial" w:hAnsi="Arial"/>
                <w:sz w:val="18"/>
                <w:szCs w:val="18"/>
                <w:lang w:val="en-US"/>
              </w:rPr>
              <w:t>(</w:t>
            </w:r>
            <w:r w:rsidRPr="00E8737D">
              <w:rPr>
                <w:rFonts w:ascii="Arial" w:hAnsi="Arial"/>
                <w:sz w:val="18"/>
                <w:szCs w:val="18"/>
                <w:lang w:val="en-US"/>
              </w:rPr>
              <w:t>31</w:t>
            </w:r>
            <w:r>
              <w:rPr>
                <w:rFonts w:ascii="Arial" w:hAnsi="Arial"/>
                <w:sz w:val="18"/>
                <w:szCs w:val="18"/>
                <w:lang w:val="en-US"/>
              </w:rPr>
              <w:t>.</w:t>
            </w:r>
            <w:r w:rsidRPr="00E8737D">
              <w:rPr>
                <w:rFonts w:ascii="Arial" w:hAnsi="Arial"/>
                <w:sz w:val="18"/>
                <w:szCs w:val="18"/>
                <w:lang w:val="en-US"/>
              </w:rPr>
              <w:t>4</w:t>
            </w:r>
            <w:r>
              <w:rPr>
                <w:rFonts w:ascii="Arial" w:hAnsi="Arial"/>
                <w:sz w:val="18"/>
                <w:szCs w:val="18"/>
                <w:lang w:val="en-US"/>
              </w:rPr>
              <w:t>)</w:t>
            </w:r>
            <w:r w:rsidRPr="00E8737D">
              <w:rPr>
                <w:rFonts w:ascii="Arial" w:hAnsi="Arial"/>
                <w:sz w:val="18"/>
                <w:szCs w:val="18"/>
                <w:lang w:val="en-US"/>
              </w:rPr>
              <w:t xml:space="preserve"> %</w:t>
            </w:r>
          </w:p>
        </w:tc>
      </w:tr>
      <w:tr w:rsidR="00E8737D" w:rsidRPr="00E8737D" w:rsidTr="00B8338C">
        <w:trPr>
          <w:trHeight w:hRule="exact" w:val="284"/>
        </w:trPr>
        <w:tc>
          <w:tcPr>
            <w:tcW w:w="4077" w:type="dxa"/>
            <w:vAlign w:val="center"/>
          </w:tcPr>
          <w:p w:rsidR="00E8737D" w:rsidRPr="008203D4" w:rsidRDefault="00E8737D" w:rsidP="007F08F8">
            <w:pPr>
              <w:tabs>
                <w:tab w:val="left" w:pos="8505"/>
              </w:tabs>
              <w:rPr>
                <w:lang w:val="en-US"/>
              </w:rPr>
            </w:pPr>
            <w:r w:rsidRPr="007F08F8">
              <w:rPr>
                <w:rFonts w:ascii="Arial" w:hAnsi="Arial"/>
                <w:sz w:val="18"/>
                <w:lang w:val="en-GB"/>
              </w:rPr>
              <w:t>Employees [as at 31 March]</w:t>
            </w:r>
          </w:p>
        </w:tc>
        <w:tc>
          <w:tcPr>
            <w:tcW w:w="1276" w:type="dxa"/>
            <w:vAlign w:val="center"/>
          </w:tcPr>
          <w:p w:rsidR="00E8737D" w:rsidRPr="007D4BEC" w:rsidRDefault="00E8737D" w:rsidP="00E8737D">
            <w:pPr>
              <w:tabs>
                <w:tab w:val="left" w:pos="8505"/>
              </w:tabs>
              <w:jc w:val="right"/>
              <w:rPr>
                <w:rFonts w:ascii="Arial" w:hAnsi="Arial" w:cs="Arial"/>
                <w:sz w:val="18"/>
                <w:szCs w:val="18"/>
              </w:rPr>
            </w:pPr>
            <w:r>
              <w:rPr>
                <w:rFonts w:ascii="Arial" w:hAnsi="Arial"/>
                <w:sz w:val="18"/>
                <w:szCs w:val="18"/>
              </w:rPr>
              <w:t>75,178</w:t>
            </w:r>
          </w:p>
        </w:tc>
        <w:tc>
          <w:tcPr>
            <w:tcW w:w="1276" w:type="dxa"/>
            <w:vAlign w:val="center"/>
          </w:tcPr>
          <w:p w:rsidR="00E8737D" w:rsidRPr="007D4BEC" w:rsidRDefault="00E8737D" w:rsidP="00E8737D">
            <w:pPr>
              <w:tabs>
                <w:tab w:val="left" w:pos="8505"/>
              </w:tabs>
              <w:jc w:val="right"/>
              <w:rPr>
                <w:rFonts w:ascii="Arial" w:hAnsi="Arial" w:cs="Arial"/>
                <w:sz w:val="18"/>
                <w:szCs w:val="18"/>
              </w:rPr>
            </w:pPr>
            <w:r>
              <w:rPr>
                <w:rFonts w:ascii="Arial" w:hAnsi="Arial"/>
                <w:sz w:val="18"/>
                <w:szCs w:val="18"/>
              </w:rPr>
              <w:t>70,065</w:t>
            </w:r>
          </w:p>
        </w:tc>
        <w:tc>
          <w:tcPr>
            <w:tcW w:w="1276" w:type="dxa"/>
            <w:vAlign w:val="center"/>
          </w:tcPr>
          <w:p w:rsidR="00E8737D" w:rsidRPr="00E8737D" w:rsidRDefault="00E8737D" w:rsidP="00E8737D">
            <w:pPr>
              <w:tabs>
                <w:tab w:val="left" w:pos="8505"/>
              </w:tabs>
              <w:jc w:val="right"/>
              <w:rPr>
                <w:rFonts w:ascii="Arial" w:hAnsi="Arial" w:cs="Arial"/>
                <w:sz w:val="18"/>
                <w:szCs w:val="18"/>
                <w:lang w:val="en-US"/>
              </w:rPr>
            </w:pPr>
            <w:r w:rsidRPr="00E8737D">
              <w:rPr>
                <w:rFonts w:ascii="Arial" w:hAnsi="Arial"/>
                <w:sz w:val="18"/>
                <w:szCs w:val="18"/>
                <w:lang w:val="en-US"/>
              </w:rPr>
              <w:t>7.3 %</w:t>
            </w:r>
          </w:p>
        </w:tc>
      </w:tr>
    </w:tbl>
    <w:p w:rsidR="007F08F8" w:rsidRPr="007F08F8" w:rsidRDefault="007F08F8" w:rsidP="00E8737D">
      <w:pPr>
        <w:autoSpaceDE w:val="0"/>
        <w:autoSpaceDN w:val="0"/>
        <w:adjustRightInd w:val="0"/>
        <w:spacing w:line="240" w:lineRule="auto"/>
        <w:ind w:right="1852"/>
        <w:rPr>
          <w:rFonts w:ascii="Arial" w:hAnsi="Arial"/>
          <w:lang w:val="en-US"/>
        </w:rPr>
      </w:pPr>
      <w:r>
        <w:rPr>
          <w:rFonts w:ascii="Arial" w:hAnsi="Arial"/>
          <w:i/>
          <w:sz w:val="16"/>
          <w:highlight w:val="green"/>
          <w:lang w:val="en-GB"/>
        </w:rPr>
        <w:br/>
      </w:r>
      <w:r w:rsidRPr="008D4891">
        <w:rPr>
          <w:rFonts w:ascii="Arial" w:hAnsi="Arial"/>
          <w:i/>
          <w:sz w:val="16"/>
          <w:lang w:val="en-GB"/>
        </w:rPr>
        <w:t xml:space="preserve">* Earnings adjusted for the impact of revaluation as part of allocating the prices of major acquisitions, restructuring, </w:t>
      </w:r>
      <w:proofErr w:type="gramStart"/>
      <w:r w:rsidRPr="008D4891">
        <w:rPr>
          <w:rFonts w:ascii="Arial" w:hAnsi="Arial"/>
          <w:i/>
          <w:sz w:val="16"/>
          <w:lang w:val="en-GB"/>
        </w:rPr>
        <w:t>impairment</w:t>
      </w:r>
      <w:proofErr w:type="gramEnd"/>
      <w:r w:rsidRPr="008D4891">
        <w:rPr>
          <w:rFonts w:ascii="Arial" w:hAnsi="Arial"/>
          <w:i/>
          <w:sz w:val="16"/>
          <w:lang w:val="en-GB"/>
        </w:rPr>
        <w:t xml:space="preserve"> of non-current assets, gains on business disposals and </w:t>
      </w:r>
      <w:r w:rsidR="000209BC">
        <w:rPr>
          <w:rFonts w:ascii="Arial" w:hAnsi="Arial"/>
          <w:i/>
          <w:sz w:val="16"/>
          <w:lang w:val="en-GB"/>
        </w:rPr>
        <w:t xml:space="preserve">on business </w:t>
      </w:r>
      <w:r w:rsidRPr="008D4891">
        <w:rPr>
          <w:rFonts w:ascii="Arial" w:hAnsi="Arial"/>
          <w:i/>
          <w:sz w:val="16"/>
          <w:lang w:val="en-GB"/>
        </w:rPr>
        <w:t>combinations including related derivatives</w:t>
      </w:r>
      <w:r w:rsidR="000209BC">
        <w:rPr>
          <w:rFonts w:ascii="Arial" w:hAnsi="Arial"/>
          <w:i/>
          <w:sz w:val="16"/>
          <w:lang w:val="en-US"/>
        </w:rPr>
        <w:t>.</w:t>
      </w:r>
    </w:p>
    <w:p w:rsidR="0098775F" w:rsidRPr="000E4BEA" w:rsidRDefault="0098775F" w:rsidP="000E4BEA">
      <w:pPr>
        <w:spacing w:before="120" w:after="0" w:line="240" w:lineRule="auto"/>
        <w:ind w:right="1922"/>
        <w:rPr>
          <w:rFonts w:ascii="Arial" w:hAnsi="Arial"/>
          <w:i/>
          <w:lang w:val="en-GB"/>
        </w:rPr>
      </w:pPr>
      <w:r w:rsidRPr="00C85271">
        <w:rPr>
          <w:rFonts w:ascii="Arial" w:hAnsi="Arial"/>
          <w:sz w:val="36"/>
          <w:szCs w:val="36"/>
          <w:lang w:val="en-GB"/>
        </w:rPr>
        <w:sym w:font="Wingdings" w:char="F046"/>
      </w:r>
      <w:r w:rsidRPr="00C85271">
        <w:rPr>
          <w:rFonts w:ascii="Arial" w:hAnsi="Arial"/>
          <w:i/>
          <w:sz w:val="20"/>
          <w:lang w:val="en-GB"/>
        </w:rPr>
        <w:t xml:space="preserve"> </w:t>
      </w:r>
      <w:r w:rsidR="000E4BEA" w:rsidRPr="004376F3">
        <w:rPr>
          <w:rFonts w:ascii="Arial" w:hAnsi="Arial" w:cs="Arial"/>
          <w:i/>
          <w:lang w:val="en-GB"/>
        </w:rPr>
        <w:t>Related illustration material can be downloaded next to this release at</w:t>
      </w:r>
      <w:r w:rsidR="000E4BEA">
        <w:rPr>
          <w:rFonts w:ascii="Arial" w:hAnsi="Arial" w:cs="Arial"/>
          <w:i/>
          <w:lang w:val="en-GB"/>
        </w:rPr>
        <w:t xml:space="preserve"> </w:t>
      </w:r>
      <w:hyperlink r:id="rId9" w:history="1">
        <w:r w:rsidR="005877F2" w:rsidRPr="00304933">
          <w:rPr>
            <w:rStyle w:val="Hyperlink"/>
            <w:rFonts w:ascii="Arial" w:hAnsi="Arial" w:cs="Arial"/>
            <w:i/>
            <w:lang w:val="en-GB"/>
          </w:rPr>
          <w:t>www.leoni.com/en/press/releases/details/leonis-sales-almost-hold-steady-in-the-first-quarter-of-2016/</w:t>
        </w:r>
      </w:hyperlink>
      <w:r w:rsidR="000E4BEA">
        <w:rPr>
          <w:rFonts w:ascii="Arial" w:hAnsi="Arial" w:cs="Arial"/>
          <w:i/>
          <w:lang w:val="en-GB"/>
        </w:rPr>
        <w:t xml:space="preserve"> </w:t>
      </w:r>
      <w:r w:rsidR="000E4BEA">
        <w:rPr>
          <w:rFonts w:ascii="Arial" w:hAnsi="Arial" w:cs="Arial"/>
          <w:i/>
          <w:lang w:val="en-GB"/>
        </w:rPr>
        <w:br/>
      </w:r>
      <w:r w:rsidR="00E26F48" w:rsidRPr="002C049D">
        <w:rPr>
          <w:rFonts w:ascii="Arial" w:hAnsi="Arial"/>
          <w:sz w:val="36"/>
          <w:szCs w:val="36"/>
          <w:lang w:val="en-GB"/>
        </w:rPr>
        <w:sym w:font="Wingdings" w:char="F046"/>
      </w:r>
      <w:r w:rsidR="00E26F48" w:rsidRPr="002C049D">
        <w:rPr>
          <w:rFonts w:ascii="Arial" w:hAnsi="Arial"/>
          <w:i/>
          <w:sz w:val="20"/>
          <w:lang w:val="en-GB"/>
        </w:rPr>
        <w:t xml:space="preserve"> </w:t>
      </w:r>
      <w:proofErr w:type="gramStart"/>
      <w:r w:rsidR="00E26F48" w:rsidRPr="000E4BEA">
        <w:rPr>
          <w:rFonts w:ascii="Arial" w:hAnsi="Arial"/>
          <w:i/>
          <w:lang w:val="en-GB"/>
        </w:rPr>
        <w:t>The</w:t>
      </w:r>
      <w:proofErr w:type="gramEnd"/>
      <w:r w:rsidR="00E26F48" w:rsidRPr="000E4BEA">
        <w:rPr>
          <w:rFonts w:ascii="Arial" w:hAnsi="Arial"/>
          <w:i/>
          <w:lang w:val="en-GB"/>
        </w:rPr>
        <w:t xml:space="preserve"> complete </w:t>
      </w:r>
      <w:r w:rsidR="007F08F8" w:rsidRPr="000E4BEA">
        <w:rPr>
          <w:rFonts w:ascii="Arial" w:hAnsi="Arial"/>
          <w:i/>
          <w:lang w:val="en-GB"/>
        </w:rPr>
        <w:t>quarterly</w:t>
      </w:r>
      <w:r w:rsidR="00B8338C" w:rsidRPr="000E4BEA">
        <w:rPr>
          <w:rFonts w:ascii="Arial" w:hAnsi="Arial"/>
          <w:i/>
          <w:lang w:val="en-GB"/>
        </w:rPr>
        <w:t xml:space="preserve"> </w:t>
      </w:r>
      <w:r w:rsidR="00E26F48" w:rsidRPr="000E4BEA">
        <w:rPr>
          <w:rFonts w:ascii="Arial" w:hAnsi="Arial"/>
          <w:i/>
          <w:lang w:val="en-GB"/>
        </w:rPr>
        <w:t xml:space="preserve">report can be </w:t>
      </w:r>
      <w:r w:rsidR="00082230" w:rsidRPr="000E4BEA">
        <w:rPr>
          <w:rFonts w:ascii="Arial" w:hAnsi="Arial"/>
          <w:i/>
          <w:lang w:val="en-GB"/>
        </w:rPr>
        <w:t>foun</w:t>
      </w:r>
      <w:r w:rsidR="00E26F48" w:rsidRPr="000E4BEA">
        <w:rPr>
          <w:rFonts w:ascii="Arial" w:hAnsi="Arial"/>
          <w:i/>
          <w:lang w:val="en-GB"/>
        </w:rPr>
        <w:t>d</w:t>
      </w:r>
      <w:r w:rsidR="00082230" w:rsidRPr="000E4BEA">
        <w:rPr>
          <w:rFonts w:ascii="Arial" w:hAnsi="Arial"/>
          <w:i/>
          <w:lang w:val="en-GB"/>
        </w:rPr>
        <w:t xml:space="preserve"> at </w:t>
      </w:r>
      <w:hyperlink r:id="rId10" w:history="1">
        <w:r w:rsidR="006072F0" w:rsidRPr="000E4BEA">
          <w:rPr>
            <w:rStyle w:val="Hyperlink"/>
            <w:rFonts w:ascii="Arial" w:hAnsi="Arial"/>
            <w:i/>
            <w:lang w:val="en-GB"/>
          </w:rPr>
          <w:t>www.leoni.com/en/financial-publications</w:t>
        </w:r>
      </w:hyperlink>
    </w:p>
    <w:p w:rsidR="0098775F" w:rsidRPr="00C85271" w:rsidRDefault="0098775F">
      <w:pPr>
        <w:pStyle w:val="MMKurzprofilberschrift"/>
        <w:rPr>
          <w:rFonts w:cs="Times New Roman"/>
          <w:szCs w:val="24"/>
          <w:lang w:val="en-GB"/>
        </w:rPr>
      </w:pPr>
      <w:r w:rsidRPr="00C85271">
        <w:rPr>
          <w:rFonts w:cs="Times New Roman"/>
          <w:szCs w:val="24"/>
          <w:lang w:val="en-GB"/>
        </w:rPr>
        <w:t>About the Leoni Group</w:t>
      </w:r>
    </w:p>
    <w:p w:rsidR="004044A6" w:rsidRDefault="00AC5497" w:rsidP="004044A6">
      <w:pPr>
        <w:pStyle w:val="MMKurzprofil"/>
        <w:rPr>
          <w:lang w:val="en-US"/>
        </w:rPr>
      </w:pPr>
      <w:r w:rsidRPr="00C85271">
        <w:rPr>
          <w:lang w:val="en-GB"/>
        </w:rPr>
        <w:t xml:space="preserve">Leoni is a global supplier of wires, optical </w:t>
      </w:r>
      <w:proofErr w:type="spellStart"/>
      <w:r w:rsidRPr="00C85271">
        <w:rPr>
          <w:lang w:val="en-GB"/>
        </w:rPr>
        <w:t>fibers</w:t>
      </w:r>
      <w:proofErr w:type="spellEnd"/>
      <w:r w:rsidRPr="00C85271">
        <w:rPr>
          <w:lang w:val="en-GB"/>
        </w:rPr>
        <w:t>, cables and cable systems as well as related services for the automotive sector and further industries. Leoni develops and produces technically sophisticated products fro</w:t>
      </w:r>
      <w:r w:rsidR="008F37D5">
        <w:rPr>
          <w:lang w:val="en-GB"/>
        </w:rPr>
        <w:t xml:space="preserve">m single-core automotive cables </w:t>
      </w:r>
      <w:r w:rsidRPr="00C85271">
        <w:rPr>
          <w:lang w:val="en-GB"/>
        </w:rPr>
        <w:t xml:space="preserve">through to complete wiring systems. Leoni’s product range also comprises wires and strands, standardised cables, special cables and cable system assemblies for various industrial markets. The group of companies, which is listed on the German MDAX, employs </w:t>
      </w:r>
      <w:r w:rsidR="000209BC">
        <w:rPr>
          <w:lang w:val="en-GB"/>
        </w:rPr>
        <w:t>about</w:t>
      </w:r>
      <w:r w:rsidR="00725A31">
        <w:rPr>
          <w:lang w:val="en-GB"/>
        </w:rPr>
        <w:t xml:space="preserve"> </w:t>
      </w:r>
      <w:r w:rsidR="006072F0">
        <w:rPr>
          <w:lang w:val="en-GB"/>
        </w:rPr>
        <w:t>7</w:t>
      </w:r>
      <w:r w:rsidR="00E8737D">
        <w:rPr>
          <w:lang w:val="en-GB"/>
        </w:rPr>
        <w:t>5</w:t>
      </w:r>
      <w:r w:rsidRPr="00C85271">
        <w:rPr>
          <w:lang w:val="en-GB"/>
        </w:rPr>
        <w:t>,000 people in 3</w:t>
      </w:r>
      <w:r w:rsidR="00E8737D">
        <w:rPr>
          <w:lang w:val="en-GB"/>
        </w:rPr>
        <w:t>2</w:t>
      </w:r>
      <w:r w:rsidRPr="00C85271">
        <w:rPr>
          <w:lang w:val="en-GB"/>
        </w:rPr>
        <w:t xml:space="preserve"> countries and generated consolidated sales of </w:t>
      </w:r>
      <w:r w:rsidRPr="00B572CD">
        <w:rPr>
          <w:lang w:val="en-US"/>
        </w:rPr>
        <w:t xml:space="preserve">EUR </w:t>
      </w:r>
      <w:r w:rsidR="006072F0">
        <w:rPr>
          <w:lang w:val="en-US"/>
        </w:rPr>
        <w:t>4.</w:t>
      </w:r>
      <w:r w:rsidR="00E8737D">
        <w:rPr>
          <w:lang w:val="en-US"/>
        </w:rPr>
        <w:t>5</w:t>
      </w:r>
      <w:r w:rsidRPr="00B572CD">
        <w:rPr>
          <w:lang w:val="en-US"/>
        </w:rPr>
        <w:t xml:space="preserve"> billion in 201</w:t>
      </w:r>
      <w:r w:rsidR="00E8737D">
        <w:rPr>
          <w:lang w:val="en-US"/>
        </w:rPr>
        <w:t>5</w:t>
      </w:r>
      <w:r w:rsidR="008F37D5">
        <w:rPr>
          <w:lang w:val="en-US"/>
        </w:rPr>
        <w:t>.</w:t>
      </w:r>
    </w:p>
    <w:p w:rsidR="004044A6" w:rsidRPr="006366F6" w:rsidRDefault="004044A6" w:rsidP="004044A6">
      <w:pPr>
        <w:pStyle w:val="MMKurzprofil"/>
        <w:rPr>
          <w:sz w:val="8"/>
          <w:szCs w:val="8"/>
          <w:lang w:val="en-GB"/>
        </w:rPr>
      </w:pPr>
    </w:p>
    <w:p w:rsidR="004044A6" w:rsidRPr="004044A6" w:rsidRDefault="00B25923" w:rsidP="004044A6">
      <w:pPr>
        <w:pStyle w:val="MMKurzprofil"/>
        <w:rPr>
          <w:lang w:val="en-US"/>
        </w:rPr>
      </w:pPr>
      <w:hyperlink r:id="rId11" w:tgtFrame="_blank" w:history="1">
        <w:r w:rsidR="001D342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facebook.com/pages/LEONI-Group-official-profile/193146627391754" target="_blank" style="width:14.25pt;height:14.25pt;mso-position-horizontal-relative:text;mso-position-vertical:absolute;mso-position-vertical-relative:text" wrapcoords="-1137 0 -1137 20463 21600 20463 21600 0 -1137 0" o:allowoverlap="f" o:button="t">
              <v:imagedata r:id="rId12" o:title="facebook"/>
            </v:shape>
          </w:pict>
        </w:r>
      </w:hyperlink>
      <w:r w:rsidR="004044A6" w:rsidRPr="004044A6">
        <w:rPr>
          <w:lang w:val="en-US"/>
        </w:rPr>
        <w:t xml:space="preserve"> </w:t>
      </w:r>
      <w:hyperlink r:id="rId13" w:tgtFrame="_blank" w:history="1">
        <w:r w:rsidR="001D3422">
          <w:pict>
            <v:shape id="_x0000_i1026" type="#_x0000_t75" alt="" href="https://www.xing.com/companies/leoniag" target="_blank" style="width:14.25pt;height:14.25pt;mso-position-horizontal-relative:text;mso-position-vertical:absolute;mso-position-vertical-relative:text" wrapcoords="-1137 0 -1137 20463 21600 20463 21600 0 -1137 0" o:allowoverlap="f" o:button="t">
              <v:imagedata r:id="rId14" o:title="xing"/>
            </v:shape>
          </w:pict>
        </w:r>
      </w:hyperlink>
    </w:p>
    <w:p w:rsidR="0098775F" w:rsidRPr="00C85271" w:rsidRDefault="0098775F">
      <w:pPr>
        <w:pStyle w:val="MMKurzprofilberschrift"/>
        <w:rPr>
          <w:rFonts w:cs="Times New Roman"/>
          <w:szCs w:val="24"/>
          <w:lang w:val="en-GB"/>
        </w:rPr>
      </w:pPr>
      <w:r w:rsidRPr="00C85271">
        <w:rPr>
          <w:rFonts w:cs="Times New Roman"/>
          <w:szCs w:val="24"/>
          <w:lang w:val="en-GB"/>
        </w:rPr>
        <w:t xml:space="preserve">Contact </w:t>
      </w:r>
      <w:r w:rsidR="00AC5497" w:rsidRPr="00C85271">
        <w:rPr>
          <w:rFonts w:cs="Times New Roman"/>
          <w:szCs w:val="24"/>
          <w:lang w:val="en-GB"/>
        </w:rPr>
        <w:t xml:space="preserve">person </w:t>
      </w:r>
      <w:r w:rsidRPr="00C85271">
        <w:rPr>
          <w:rFonts w:cs="Times New Roman"/>
          <w:szCs w:val="24"/>
          <w:lang w:val="en-GB"/>
        </w:rPr>
        <w:t>for journalists</w:t>
      </w:r>
    </w:p>
    <w:p w:rsidR="0098775F" w:rsidRPr="00C85271" w:rsidRDefault="0098775F">
      <w:pPr>
        <w:pStyle w:val="MMKurzprofil"/>
        <w:rPr>
          <w:rFonts w:cs="Times New Roman"/>
          <w:szCs w:val="24"/>
          <w:lang w:val="en-GB"/>
        </w:rPr>
      </w:pPr>
      <w:r w:rsidRPr="00C85271">
        <w:rPr>
          <w:rFonts w:cs="Times New Roman"/>
          <w:szCs w:val="24"/>
          <w:lang w:val="en-GB"/>
        </w:rPr>
        <w:t>Sven Schmidt</w:t>
      </w:r>
    </w:p>
    <w:p w:rsidR="0098775F" w:rsidRDefault="0098775F">
      <w:pPr>
        <w:pStyle w:val="MMKurzprofil"/>
        <w:rPr>
          <w:rFonts w:cs="Times New Roman"/>
          <w:szCs w:val="24"/>
          <w:lang w:val="en-GB"/>
        </w:rPr>
      </w:pPr>
      <w:r w:rsidRPr="00C85271">
        <w:rPr>
          <w:rFonts w:cs="Times New Roman"/>
          <w:szCs w:val="24"/>
          <w:lang w:val="en-GB"/>
        </w:rPr>
        <w:t>Corporate Public &amp; Media Relations</w:t>
      </w:r>
    </w:p>
    <w:p w:rsidR="00452CF6" w:rsidRPr="00C85271" w:rsidRDefault="00452CF6">
      <w:pPr>
        <w:pStyle w:val="MMKurzprofil"/>
        <w:rPr>
          <w:rFonts w:cs="Times New Roman"/>
          <w:szCs w:val="24"/>
          <w:lang w:val="en-GB"/>
        </w:rPr>
      </w:pPr>
      <w:r>
        <w:rPr>
          <w:rFonts w:cs="Times New Roman"/>
          <w:szCs w:val="24"/>
          <w:lang w:val="en-GB"/>
        </w:rPr>
        <w:t>LEONI AG</w:t>
      </w:r>
    </w:p>
    <w:p w:rsidR="0098775F" w:rsidRPr="00C85271" w:rsidRDefault="0098775F">
      <w:pPr>
        <w:pStyle w:val="MMKurzprofil"/>
        <w:tabs>
          <w:tab w:val="clear" w:pos="8505"/>
          <w:tab w:val="left" w:pos="851"/>
        </w:tabs>
        <w:rPr>
          <w:rFonts w:cs="Times New Roman"/>
          <w:szCs w:val="24"/>
          <w:lang w:val="en-GB"/>
        </w:rPr>
      </w:pPr>
      <w:r w:rsidRPr="00C85271">
        <w:rPr>
          <w:rFonts w:cs="Times New Roman"/>
          <w:szCs w:val="24"/>
          <w:lang w:val="en-GB"/>
        </w:rPr>
        <w:t>Phone</w:t>
      </w:r>
      <w:r w:rsidRPr="00C85271">
        <w:rPr>
          <w:rFonts w:cs="Times New Roman"/>
          <w:szCs w:val="24"/>
          <w:lang w:val="en-GB"/>
        </w:rPr>
        <w:tab/>
        <w:t>+49 (0)911-2023-467</w:t>
      </w:r>
    </w:p>
    <w:p w:rsidR="0098775F" w:rsidRPr="00C85271" w:rsidRDefault="0098775F">
      <w:pPr>
        <w:pStyle w:val="MMKurzprofil"/>
        <w:tabs>
          <w:tab w:val="clear" w:pos="8505"/>
          <w:tab w:val="left" w:pos="851"/>
        </w:tabs>
        <w:rPr>
          <w:rFonts w:cs="Times New Roman"/>
          <w:szCs w:val="24"/>
          <w:lang w:val="en-GB"/>
        </w:rPr>
      </w:pPr>
      <w:r w:rsidRPr="00C85271">
        <w:rPr>
          <w:rFonts w:cs="Times New Roman"/>
          <w:szCs w:val="24"/>
          <w:lang w:val="en-GB"/>
        </w:rPr>
        <w:t>Fax</w:t>
      </w:r>
      <w:r w:rsidRPr="00C85271">
        <w:rPr>
          <w:rFonts w:cs="Times New Roman"/>
          <w:szCs w:val="24"/>
          <w:lang w:val="en-GB"/>
        </w:rPr>
        <w:tab/>
        <w:t>+49 (0)911-2023-231</w:t>
      </w:r>
    </w:p>
    <w:p w:rsidR="0098775F" w:rsidRDefault="0098775F">
      <w:pPr>
        <w:pStyle w:val="MMKurzprofil"/>
        <w:tabs>
          <w:tab w:val="clear" w:pos="8505"/>
          <w:tab w:val="left" w:pos="851"/>
        </w:tabs>
        <w:rPr>
          <w:rFonts w:cs="Times New Roman"/>
          <w:szCs w:val="24"/>
          <w:lang w:val="en-GB"/>
        </w:rPr>
      </w:pPr>
      <w:r w:rsidRPr="00C85271">
        <w:rPr>
          <w:rFonts w:cs="Times New Roman"/>
          <w:szCs w:val="24"/>
          <w:lang w:val="en-GB"/>
        </w:rPr>
        <w:t>E-mail</w:t>
      </w:r>
      <w:r w:rsidRPr="00C85271">
        <w:rPr>
          <w:rFonts w:cs="Times New Roman"/>
          <w:szCs w:val="24"/>
          <w:lang w:val="en-GB"/>
        </w:rPr>
        <w:tab/>
      </w:r>
      <w:hyperlink r:id="rId15" w:history="1">
        <w:r w:rsidRPr="00C85271">
          <w:rPr>
            <w:rStyle w:val="Hyperlink"/>
            <w:rFonts w:cs="Times New Roman"/>
            <w:szCs w:val="24"/>
            <w:lang w:val="en-GB"/>
          </w:rPr>
          <w:t>presse@leoni.com</w:t>
        </w:r>
      </w:hyperlink>
    </w:p>
    <w:sectPr w:rsidR="0098775F" w:rsidSect="0018244E">
      <w:headerReference w:type="default" r:id="rId16"/>
      <w:footerReference w:type="default" r:id="rId17"/>
      <w:headerReference w:type="first" r:id="rId18"/>
      <w:footerReference w:type="first" r:id="rId19"/>
      <w:pgSz w:w="11900" w:h="16840" w:code="9"/>
      <w:pgMar w:top="2977" w:right="833" w:bottom="1418" w:left="1418" w:header="0" w:footer="31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3D4" w:rsidRDefault="008203D4">
      <w:pPr>
        <w:rPr>
          <w:sz w:val="16"/>
        </w:rPr>
      </w:pPr>
      <w:r>
        <w:separator/>
      </w:r>
    </w:p>
  </w:endnote>
  <w:endnote w:type="continuationSeparator" w:id="0">
    <w:p w:rsidR="008203D4" w:rsidRDefault="008203D4">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D4" w:rsidRDefault="008203D4">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B25923">
      <w:rPr>
        <w:rStyle w:val="Seitenzahl"/>
        <w:rFonts w:ascii="Arial" w:hAnsi="Arial"/>
        <w:i/>
        <w:noProof/>
        <w:sz w:val="16"/>
      </w:rPr>
      <w:t>3</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B25923">
      <w:rPr>
        <w:rStyle w:val="Seitenzahl"/>
        <w:rFonts w:ascii="Arial" w:hAnsi="Arial"/>
        <w:i/>
        <w:noProof/>
        <w:sz w:val="16"/>
      </w:rPr>
      <w:t>3</w:t>
    </w:r>
    <w:r>
      <w:rPr>
        <w:rStyle w:val="Seitenzahl"/>
        <w:rFonts w:ascii="Arial" w:hAnsi="Arial"/>
        <w:i/>
        <w:noProof/>
        <w:sz w:val="16"/>
      </w:rPr>
      <w:fldChar w:fldCharType="end"/>
    </w:r>
    <w:r>
      <w:rPr>
        <w:rFonts w:ascii="Arial" w:hAnsi="Arial"/>
        <w:b/>
        <w:color w:val="004089"/>
        <w:sz w:val="12"/>
      </w:rPr>
      <w:tab/>
    </w:r>
  </w:p>
  <w:p w:rsidR="008203D4" w:rsidRDefault="008203D4">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D4" w:rsidRDefault="008203D4" w:rsidP="0018244E">
    <w:pPr>
      <w:pStyle w:val="Fuzeile"/>
      <w:tabs>
        <w:tab w:val="clear" w:pos="4536"/>
        <w:tab w:val="left" w:pos="2879"/>
        <w:tab w:val="left" w:pos="3788"/>
        <w:tab w:val="left" w:pos="5842"/>
        <w:tab w:val="left" w:pos="7729"/>
      </w:tabs>
      <w:spacing w:before="20"/>
    </w:pPr>
    <w:r>
      <w:rPr>
        <w:rFonts w:ascii="Verdana" w:hAnsi="Verdana"/>
        <w:b/>
        <w:color w:val="004089"/>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3D4" w:rsidRDefault="008203D4">
      <w:pPr>
        <w:rPr>
          <w:sz w:val="16"/>
        </w:rPr>
      </w:pPr>
      <w:r>
        <w:separator/>
      </w:r>
    </w:p>
  </w:footnote>
  <w:footnote w:type="continuationSeparator" w:id="0">
    <w:p w:rsidR="008203D4" w:rsidRDefault="008203D4">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D4" w:rsidRPr="00F17738" w:rsidRDefault="008203D4" w:rsidP="00F65C50">
    <w:pPr>
      <w:pStyle w:val="Kopfzeile"/>
      <w:tabs>
        <w:tab w:val="clear" w:pos="9072"/>
        <w:tab w:val="right" w:pos="9639"/>
      </w:tabs>
      <w:spacing w:after="0" w:line="240" w:lineRule="auto"/>
      <w:rPr>
        <w:rFonts w:ascii="Verdana" w:hAnsi="Verdana"/>
        <w:sz w:val="20"/>
      </w:rPr>
    </w:pPr>
  </w:p>
  <w:p w:rsidR="008203D4" w:rsidRDefault="008203D4" w:rsidP="00F65C50">
    <w:pPr>
      <w:pStyle w:val="Kopfzeile"/>
      <w:tabs>
        <w:tab w:val="clear" w:pos="9072"/>
        <w:tab w:val="right" w:pos="9639"/>
      </w:tabs>
      <w:spacing w:after="0" w:line="240" w:lineRule="auto"/>
      <w:rPr>
        <w:rFonts w:ascii="Verdana" w:hAnsi="Verdana"/>
        <w:sz w:val="20"/>
      </w:rPr>
    </w:pPr>
  </w:p>
  <w:p w:rsidR="008203D4" w:rsidRPr="00F17738" w:rsidRDefault="00B25923" w:rsidP="00F65C50">
    <w:pPr>
      <w:pStyle w:val="Kopfzeile"/>
      <w:tabs>
        <w:tab w:val="clear" w:pos="9072"/>
        <w:tab w:val="right" w:pos="9639"/>
      </w:tabs>
      <w:spacing w:after="0" w:line="240" w:lineRule="auto"/>
      <w:rPr>
        <w:rFonts w:ascii="Verdana" w:hAnsi="Verdana"/>
        <w:sz w:val="20"/>
      </w:rPr>
    </w:pPr>
    <w:r>
      <w:rPr>
        <w:rFonts w:ascii="Times New Roman" w:hAnsi="Times New Roman"/>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6.45pt;margin-top:42.55pt;width:96.8pt;height:23.2pt;z-index:251658240;mso-position-horizontal-relative:page;mso-position-vertical-relative:page" o:allowoverlap="f">
          <v:imagedata r:id="rId1" o:title="LEONI Logo farbig"/>
          <w10:wrap anchorx="page" anchory="page"/>
          <w10:anchorlock/>
        </v:shape>
      </w:pict>
    </w:r>
  </w:p>
  <w:p w:rsidR="008203D4" w:rsidRDefault="008203D4" w:rsidP="00F65C50">
    <w:pPr>
      <w:spacing w:before="60" w:after="0" w:line="360" w:lineRule="auto"/>
      <w:ind w:right="1429"/>
      <w:rPr>
        <w:rFonts w:ascii="Arial" w:hAnsi="Arial" w:cs="Arial"/>
        <w:b/>
        <w:sz w:val="20"/>
        <w:szCs w:val="20"/>
      </w:rPr>
    </w:pPr>
  </w:p>
  <w:p w:rsidR="008203D4" w:rsidRDefault="006072F0" w:rsidP="00F65C50">
    <w:pPr>
      <w:spacing w:after="0" w:line="360" w:lineRule="auto"/>
      <w:ind w:right="1429"/>
      <w:rPr>
        <w:rFonts w:ascii="Arial" w:hAnsi="Arial" w:cs="Arial"/>
        <w:b/>
        <w:sz w:val="20"/>
        <w:szCs w:val="20"/>
      </w:rPr>
    </w:pPr>
    <w:r>
      <w:rPr>
        <w:rFonts w:ascii="Arial" w:hAnsi="Arial" w:cs="Arial"/>
        <w:b/>
        <w:sz w:val="20"/>
        <w:szCs w:val="20"/>
      </w:rPr>
      <w:t>PRESS</w:t>
    </w:r>
    <w:r w:rsidR="008203D4">
      <w:rPr>
        <w:rFonts w:ascii="Arial" w:hAnsi="Arial" w:cs="Arial"/>
        <w:b/>
        <w:sz w:val="20"/>
        <w:szCs w:val="20"/>
      </w:rPr>
      <w:t xml:space="preserve"> RELEASE</w:t>
    </w:r>
  </w:p>
  <w:p w:rsidR="008203D4" w:rsidRDefault="008203D4">
    <w:pPr>
      <w:pStyle w:val="Kopfzeile"/>
      <w:tabs>
        <w:tab w:val="clear" w:pos="9072"/>
        <w:tab w:val="right" w:pos="9639"/>
      </w:tabs>
      <w:rPr>
        <w:rFonts w:ascii="Verdana" w:hAnsi="Verdana"/>
        <w:sz w:val="20"/>
      </w:rPr>
    </w:pPr>
  </w:p>
  <w:p w:rsidR="008203D4" w:rsidRDefault="008203D4">
    <w:pPr>
      <w:pStyle w:val="Kopfzeile"/>
      <w:tabs>
        <w:tab w:val="clear" w:pos="9072"/>
        <w:tab w:val="right" w:pos="9639"/>
      </w:tabs>
      <w:rPr>
        <w:rFonts w:ascii="Verdana" w:hAnsi="Verdan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D4" w:rsidRDefault="008203D4">
    <w:pPr>
      <w:pStyle w:val="Kopfzeile"/>
      <w:ind w:right="12"/>
      <w:rPr>
        <w:rFonts w:ascii="Verdana" w:hAnsi="Verdana"/>
        <w:sz w:val="20"/>
      </w:rPr>
    </w:pPr>
  </w:p>
  <w:p w:rsidR="008203D4" w:rsidRDefault="008203D4">
    <w:pPr>
      <w:pStyle w:val="Kopfzeile"/>
      <w:ind w:right="12"/>
      <w:rPr>
        <w:rFonts w:ascii="Verdana" w:hAnsi="Verdana"/>
        <w:sz w:val="20"/>
      </w:rPr>
    </w:pPr>
  </w:p>
  <w:p w:rsidR="008203D4" w:rsidRDefault="008203D4">
    <w:pPr>
      <w:pStyle w:val="Kopfzeile"/>
      <w:ind w:right="12"/>
      <w:rPr>
        <w:rFonts w:ascii="Verdana" w:hAnsi="Verdana"/>
        <w:sz w:val="20"/>
      </w:rPr>
    </w:pPr>
  </w:p>
  <w:p w:rsidR="008203D4" w:rsidRDefault="008203D4">
    <w:pPr>
      <w:pStyle w:val="Kopfzeile"/>
      <w:ind w:right="12"/>
      <w:rPr>
        <w:rFonts w:ascii="Verdana" w:hAnsi="Verdana"/>
        <w:sz w:val="20"/>
      </w:rPr>
    </w:pPr>
  </w:p>
  <w:p w:rsidR="008203D4" w:rsidRDefault="00B25923">
    <w:pPr>
      <w:pStyle w:val="Kopfzeile"/>
      <w:ind w:right="12"/>
      <w:rPr>
        <w:rFonts w:ascii="Verdana" w:hAnsi="Verdana"/>
        <w:sz w:val="20"/>
      </w:rP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251657216;mso-position-horizontal-relative:margin;mso-position-vertical-relative:margin" o:allowoverlap="f">
          <v:imagedata r:id="rId1" o:title=""/>
          <w10:wrap anchorx="margin" anchory="margin"/>
        </v:shape>
      </w:pict>
    </w:r>
  </w:p>
  <w:p w:rsidR="008203D4" w:rsidRDefault="008203D4">
    <w:pPr>
      <w:pStyle w:val="Kopfzeile"/>
      <w:ind w:right="12"/>
      <w:rPr>
        <w:rFonts w:ascii="Verdana" w:hAnsi="Verdana"/>
        <w:sz w:val="20"/>
      </w:rPr>
    </w:pPr>
  </w:p>
  <w:p w:rsidR="008203D4" w:rsidRDefault="008203D4">
    <w:pPr>
      <w:pStyle w:val="Kopfzeile"/>
      <w:ind w:right="12"/>
      <w:rPr>
        <w:rFonts w:ascii="Verdana" w:hAnsi="Verdana"/>
        <w:sz w:val="20"/>
      </w:rPr>
    </w:pPr>
  </w:p>
  <w:p w:rsidR="008203D4" w:rsidRDefault="008203D4">
    <w:pPr>
      <w:pStyle w:val="Kopfzeile"/>
      <w:ind w:right="12"/>
      <w:rPr>
        <w:rFonts w:ascii="Verdana" w:hAnsi="Verdana"/>
        <w:sz w:val="20"/>
      </w:rPr>
    </w:pPr>
  </w:p>
  <w:p w:rsidR="008203D4" w:rsidRDefault="008203D4">
    <w:pPr>
      <w:pStyle w:val="Kopfzeile"/>
      <w:ind w:right="12"/>
      <w:rPr>
        <w:rFonts w:ascii="Verdana" w:hAnsi="Verdana"/>
        <w:sz w:val="20"/>
      </w:rPr>
    </w:pPr>
  </w:p>
  <w:p w:rsidR="008203D4" w:rsidRDefault="008203D4">
    <w:pPr>
      <w:pStyle w:val="Kopfzeile"/>
      <w:ind w:right="12"/>
      <w:rPr>
        <w:rFonts w:ascii="Verdana" w:hAnsi="Verdana"/>
        <w:sz w:val="20"/>
      </w:rPr>
    </w:pPr>
  </w:p>
  <w:p w:rsidR="008203D4" w:rsidRDefault="008203D4">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2936"/>
    <w:rsid w:val="000079E4"/>
    <w:rsid w:val="00013A64"/>
    <w:rsid w:val="000209BC"/>
    <w:rsid w:val="0002408F"/>
    <w:rsid w:val="000255DA"/>
    <w:rsid w:val="00033C4D"/>
    <w:rsid w:val="00041290"/>
    <w:rsid w:val="0004329A"/>
    <w:rsid w:val="000453F9"/>
    <w:rsid w:val="00082230"/>
    <w:rsid w:val="000A0822"/>
    <w:rsid w:val="000A2E7C"/>
    <w:rsid w:val="000A32BC"/>
    <w:rsid w:val="000A7B89"/>
    <w:rsid w:val="000B3BF8"/>
    <w:rsid w:val="000B5865"/>
    <w:rsid w:val="000C02B1"/>
    <w:rsid w:val="000D0C90"/>
    <w:rsid w:val="000E4BEA"/>
    <w:rsid w:val="000E6946"/>
    <w:rsid w:val="000F1C62"/>
    <w:rsid w:val="000F2DC6"/>
    <w:rsid w:val="000F65EE"/>
    <w:rsid w:val="000F73A0"/>
    <w:rsid w:val="00102158"/>
    <w:rsid w:val="00110484"/>
    <w:rsid w:val="00123771"/>
    <w:rsid w:val="00123B76"/>
    <w:rsid w:val="00130F82"/>
    <w:rsid w:val="00132B87"/>
    <w:rsid w:val="00134E77"/>
    <w:rsid w:val="001454B6"/>
    <w:rsid w:val="00152D54"/>
    <w:rsid w:val="00157C54"/>
    <w:rsid w:val="001717DC"/>
    <w:rsid w:val="00172DBF"/>
    <w:rsid w:val="001734DC"/>
    <w:rsid w:val="0018244E"/>
    <w:rsid w:val="00184530"/>
    <w:rsid w:val="001849BC"/>
    <w:rsid w:val="0018564D"/>
    <w:rsid w:val="001A26F1"/>
    <w:rsid w:val="001B22A1"/>
    <w:rsid w:val="001B621B"/>
    <w:rsid w:val="001C0CC3"/>
    <w:rsid w:val="001C4728"/>
    <w:rsid w:val="001C7543"/>
    <w:rsid w:val="001D1868"/>
    <w:rsid w:val="001D2CDB"/>
    <w:rsid w:val="001D3422"/>
    <w:rsid w:val="00207FC6"/>
    <w:rsid w:val="00211D05"/>
    <w:rsid w:val="0023301E"/>
    <w:rsid w:val="00240866"/>
    <w:rsid w:val="00245C9E"/>
    <w:rsid w:val="00247B9B"/>
    <w:rsid w:val="00260A78"/>
    <w:rsid w:val="002630D8"/>
    <w:rsid w:val="002639C8"/>
    <w:rsid w:val="00264325"/>
    <w:rsid w:val="002956A9"/>
    <w:rsid w:val="0029603C"/>
    <w:rsid w:val="002B7AC7"/>
    <w:rsid w:val="002B7BFA"/>
    <w:rsid w:val="002C118D"/>
    <w:rsid w:val="002D2880"/>
    <w:rsid w:val="002E1F50"/>
    <w:rsid w:val="003118F1"/>
    <w:rsid w:val="00361CF2"/>
    <w:rsid w:val="00362050"/>
    <w:rsid w:val="00364DCD"/>
    <w:rsid w:val="00382198"/>
    <w:rsid w:val="00397AC4"/>
    <w:rsid w:val="003A240E"/>
    <w:rsid w:val="003B0FC5"/>
    <w:rsid w:val="003B2267"/>
    <w:rsid w:val="003C6AAE"/>
    <w:rsid w:val="003D2799"/>
    <w:rsid w:val="003E43B4"/>
    <w:rsid w:val="003E4B96"/>
    <w:rsid w:val="003E6B83"/>
    <w:rsid w:val="00404468"/>
    <w:rsid w:val="004044A6"/>
    <w:rsid w:val="004121DA"/>
    <w:rsid w:val="00424182"/>
    <w:rsid w:val="00432245"/>
    <w:rsid w:val="00441963"/>
    <w:rsid w:val="00452CF6"/>
    <w:rsid w:val="004547BF"/>
    <w:rsid w:val="00473340"/>
    <w:rsid w:val="00473E7D"/>
    <w:rsid w:val="004746ED"/>
    <w:rsid w:val="004822A8"/>
    <w:rsid w:val="004826F0"/>
    <w:rsid w:val="00491E80"/>
    <w:rsid w:val="00492E67"/>
    <w:rsid w:val="004A0D77"/>
    <w:rsid w:val="004A1653"/>
    <w:rsid w:val="004A457B"/>
    <w:rsid w:val="004B0623"/>
    <w:rsid w:val="004B3DB8"/>
    <w:rsid w:val="004B4CC2"/>
    <w:rsid w:val="004C11CE"/>
    <w:rsid w:val="004D2FCB"/>
    <w:rsid w:val="004D41E6"/>
    <w:rsid w:val="004E29FC"/>
    <w:rsid w:val="004F038C"/>
    <w:rsid w:val="004F2266"/>
    <w:rsid w:val="004F7079"/>
    <w:rsid w:val="00500004"/>
    <w:rsid w:val="00500B29"/>
    <w:rsid w:val="00506B4C"/>
    <w:rsid w:val="005072AE"/>
    <w:rsid w:val="005147CE"/>
    <w:rsid w:val="00526F46"/>
    <w:rsid w:val="00533F65"/>
    <w:rsid w:val="00535C46"/>
    <w:rsid w:val="00543C34"/>
    <w:rsid w:val="005448AB"/>
    <w:rsid w:val="005877F2"/>
    <w:rsid w:val="005A6BB8"/>
    <w:rsid w:val="005C5351"/>
    <w:rsid w:val="005D4C87"/>
    <w:rsid w:val="005D4FF6"/>
    <w:rsid w:val="005D550E"/>
    <w:rsid w:val="005F7D29"/>
    <w:rsid w:val="00600E53"/>
    <w:rsid w:val="00602FD7"/>
    <w:rsid w:val="006072F0"/>
    <w:rsid w:val="00607852"/>
    <w:rsid w:val="00614A49"/>
    <w:rsid w:val="0061798D"/>
    <w:rsid w:val="00631FB1"/>
    <w:rsid w:val="006366F6"/>
    <w:rsid w:val="006457CF"/>
    <w:rsid w:val="00654989"/>
    <w:rsid w:val="00663C2A"/>
    <w:rsid w:val="00683EF3"/>
    <w:rsid w:val="006A76CA"/>
    <w:rsid w:val="006C5546"/>
    <w:rsid w:val="006C5962"/>
    <w:rsid w:val="006D36F9"/>
    <w:rsid w:val="006E0029"/>
    <w:rsid w:val="006E7A1F"/>
    <w:rsid w:val="006F435B"/>
    <w:rsid w:val="006F4393"/>
    <w:rsid w:val="006F78FE"/>
    <w:rsid w:val="007043BB"/>
    <w:rsid w:val="00720539"/>
    <w:rsid w:val="00721853"/>
    <w:rsid w:val="00725A31"/>
    <w:rsid w:val="007420F8"/>
    <w:rsid w:val="00746CA7"/>
    <w:rsid w:val="00755EBD"/>
    <w:rsid w:val="00765E37"/>
    <w:rsid w:val="00773EC7"/>
    <w:rsid w:val="007747B6"/>
    <w:rsid w:val="00783A5E"/>
    <w:rsid w:val="007864F1"/>
    <w:rsid w:val="007A52EB"/>
    <w:rsid w:val="007C3759"/>
    <w:rsid w:val="007D7D60"/>
    <w:rsid w:val="007F08F8"/>
    <w:rsid w:val="007F3212"/>
    <w:rsid w:val="007F68CF"/>
    <w:rsid w:val="00803041"/>
    <w:rsid w:val="008045E1"/>
    <w:rsid w:val="008203D4"/>
    <w:rsid w:val="00821BA4"/>
    <w:rsid w:val="00827B83"/>
    <w:rsid w:val="0083522C"/>
    <w:rsid w:val="008446CD"/>
    <w:rsid w:val="008920B0"/>
    <w:rsid w:val="008950C7"/>
    <w:rsid w:val="008A0985"/>
    <w:rsid w:val="008A1C0B"/>
    <w:rsid w:val="008A3A81"/>
    <w:rsid w:val="008B6597"/>
    <w:rsid w:val="008D26BA"/>
    <w:rsid w:val="008D4891"/>
    <w:rsid w:val="008D6717"/>
    <w:rsid w:val="008E7760"/>
    <w:rsid w:val="008F26DC"/>
    <w:rsid w:val="008F37D5"/>
    <w:rsid w:val="008F5F48"/>
    <w:rsid w:val="00906898"/>
    <w:rsid w:val="00936962"/>
    <w:rsid w:val="00965090"/>
    <w:rsid w:val="00967E91"/>
    <w:rsid w:val="009714B0"/>
    <w:rsid w:val="00977A5F"/>
    <w:rsid w:val="00977A87"/>
    <w:rsid w:val="0098775F"/>
    <w:rsid w:val="009A1070"/>
    <w:rsid w:val="009A1AEB"/>
    <w:rsid w:val="009B48FF"/>
    <w:rsid w:val="009B564D"/>
    <w:rsid w:val="009C6B13"/>
    <w:rsid w:val="009D4512"/>
    <w:rsid w:val="009D529B"/>
    <w:rsid w:val="009E06E1"/>
    <w:rsid w:val="009F6805"/>
    <w:rsid w:val="009F752B"/>
    <w:rsid w:val="00A12538"/>
    <w:rsid w:val="00A23768"/>
    <w:rsid w:val="00A27173"/>
    <w:rsid w:val="00A34AA7"/>
    <w:rsid w:val="00A435CF"/>
    <w:rsid w:val="00A54DDA"/>
    <w:rsid w:val="00A6060D"/>
    <w:rsid w:val="00A66992"/>
    <w:rsid w:val="00A708D7"/>
    <w:rsid w:val="00A7468A"/>
    <w:rsid w:val="00A76415"/>
    <w:rsid w:val="00AA16D7"/>
    <w:rsid w:val="00AA2526"/>
    <w:rsid w:val="00AA2A8D"/>
    <w:rsid w:val="00AB4893"/>
    <w:rsid w:val="00AC2AE0"/>
    <w:rsid w:val="00AC5497"/>
    <w:rsid w:val="00AC7A23"/>
    <w:rsid w:val="00AD3E26"/>
    <w:rsid w:val="00AD4A54"/>
    <w:rsid w:val="00AE31C1"/>
    <w:rsid w:val="00AE43B7"/>
    <w:rsid w:val="00AF0A61"/>
    <w:rsid w:val="00B1340F"/>
    <w:rsid w:val="00B139E4"/>
    <w:rsid w:val="00B24E61"/>
    <w:rsid w:val="00B25923"/>
    <w:rsid w:val="00B260C6"/>
    <w:rsid w:val="00B2763A"/>
    <w:rsid w:val="00B3540F"/>
    <w:rsid w:val="00B3611C"/>
    <w:rsid w:val="00B43D1D"/>
    <w:rsid w:val="00B44D5B"/>
    <w:rsid w:val="00B45E40"/>
    <w:rsid w:val="00B466F2"/>
    <w:rsid w:val="00B572CD"/>
    <w:rsid w:val="00B572D2"/>
    <w:rsid w:val="00B67561"/>
    <w:rsid w:val="00B70B1A"/>
    <w:rsid w:val="00B71C6F"/>
    <w:rsid w:val="00B8338C"/>
    <w:rsid w:val="00B86027"/>
    <w:rsid w:val="00B96DE2"/>
    <w:rsid w:val="00BA0052"/>
    <w:rsid w:val="00BB1A73"/>
    <w:rsid w:val="00BB4148"/>
    <w:rsid w:val="00BB69CA"/>
    <w:rsid w:val="00BC37D4"/>
    <w:rsid w:val="00BC5FE7"/>
    <w:rsid w:val="00BD135F"/>
    <w:rsid w:val="00BD22AC"/>
    <w:rsid w:val="00BD2643"/>
    <w:rsid w:val="00BD26C1"/>
    <w:rsid w:val="00BD4058"/>
    <w:rsid w:val="00BD6804"/>
    <w:rsid w:val="00BF5681"/>
    <w:rsid w:val="00BF7DEC"/>
    <w:rsid w:val="00C01E31"/>
    <w:rsid w:val="00C03D20"/>
    <w:rsid w:val="00C07BB6"/>
    <w:rsid w:val="00C108BC"/>
    <w:rsid w:val="00C10BF9"/>
    <w:rsid w:val="00C11645"/>
    <w:rsid w:val="00C1516A"/>
    <w:rsid w:val="00C423BA"/>
    <w:rsid w:val="00C4636C"/>
    <w:rsid w:val="00C6770A"/>
    <w:rsid w:val="00C85271"/>
    <w:rsid w:val="00C900A9"/>
    <w:rsid w:val="00C94DCD"/>
    <w:rsid w:val="00C96EBA"/>
    <w:rsid w:val="00CA481B"/>
    <w:rsid w:val="00CA4B57"/>
    <w:rsid w:val="00CC7086"/>
    <w:rsid w:val="00CD5098"/>
    <w:rsid w:val="00CD57A4"/>
    <w:rsid w:val="00CF3A29"/>
    <w:rsid w:val="00CF5A3C"/>
    <w:rsid w:val="00D00981"/>
    <w:rsid w:val="00D04407"/>
    <w:rsid w:val="00D1225B"/>
    <w:rsid w:val="00D15735"/>
    <w:rsid w:val="00D22ED7"/>
    <w:rsid w:val="00D31113"/>
    <w:rsid w:val="00D413F1"/>
    <w:rsid w:val="00D65513"/>
    <w:rsid w:val="00D738A7"/>
    <w:rsid w:val="00D74838"/>
    <w:rsid w:val="00D80DBE"/>
    <w:rsid w:val="00D903E2"/>
    <w:rsid w:val="00D90D76"/>
    <w:rsid w:val="00D92309"/>
    <w:rsid w:val="00DA49A1"/>
    <w:rsid w:val="00DB2E93"/>
    <w:rsid w:val="00DB7DCF"/>
    <w:rsid w:val="00DD5149"/>
    <w:rsid w:val="00DD67C1"/>
    <w:rsid w:val="00DE2EA8"/>
    <w:rsid w:val="00DF6351"/>
    <w:rsid w:val="00E01673"/>
    <w:rsid w:val="00E02B7A"/>
    <w:rsid w:val="00E2445B"/>
    <w:rsid w:val="00E255EE"/>
    <w:rsid w:val="00E26E57"/>
    <w:rsid w:val="00E26F48"/>
    <w:rsid w:val="00E33130"/>
    <w:rsid w:val="00E358C1"/>
    <w:rsid w:val="00E45475"/>
    <w:rsid w:val="00E53F23"/>
    <w:rsid w:val="00E76BA0"/>
    <w:rsid w:val="00E83C80"/>
    <w:rsid w:val="00E8737D"/>
    <w:rsid w:val="00E93051"/>
    <w:rsid w:val="00E95E47"/>
    <w:rsid w:val="00EA6563"/>
    <w:rsid w:val="00EB09C0"/>
    <w:rsid w:val="00EB5A8C"/>
    <w:rsid w:val="00EB717D"/>
    <w:rsid w:val="00EC0A0C"/>
    <w:rsid w:val="00EC0E74"/>
    <w:rsid w:val="00EC6520"/>
    <w:rsid w:val="00ED1040"/>
    <w:rsid w:val="00ED47BD"/>
    <w:rsid w:val="00EE3329"/>
    <w:rsid w:val="00EE7541"/>
    <w:rsid w:val="00EF2DA5"/>
    <w:rsid w:val="00F21EA0"/>
    <w:rsid w:val="00F230E1"/>
    <w:rsid w:val="00F37865"/>
    <w:rsid w:val="00F55CB1"/>
    <w:rsid w:val="00F65C50"/>
    <w:rsid w:val="00F67138"/>
    <w:rsid w:val="00F737A1"/>
    <w:rsid w:val="00F73C92"/>
    <w:rsid w:val="00F77219"/>
    <w:rsid w:val="00F80249"/>
    <w:rsid w:val="00F851F7"/>
    <w:rsid w:val="00F90257"/>
    <w:rsid w:val="00F91FB0"/>
    <w:rsid w:val="00F955C9"/>
    <w:rsid w:val="00FA0E12"/>
    <w:rsid w:val="00FA5C95"/>
    <w:rsid w:val="00FC2BA4"/>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53F23"/>
    <w:pPr>
      <w:spacing w:after="200" w:line="276" w:lineRule="auto"/>
    </w:pPr>
    <w:rPr>
      <w:sz w:val="22"/>
      <w:szCs w:val="22"/>
    </w:rPr>
  </w:style>
  <w:style w:type="paragraph" w:styleId="berschrift1">
    <w:name w:val="heading 1"/>
    <w:aliases w:val="F1: Hauptüberschrift"/>
    <w:basedOn w:val="Standard"/>
    <w:next w:val="Standard"/>
    <w:link w:val="berschrift1Zchn"/>
    <w:uiPriority w:val="9"/>
    <w:qFormat/>
    <w:rsid w:val="00E53F23"/>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berschrift1"/>
    <w:next w:val="Standard"/>
    <w:link w:val="berschrift2Zchn"/>
    <w:uiPriority w:val="9"/>
    <w:semiHidden/>
    <w:unhideWhenUsed/>
    <w:qFormat/>
    <w:pPr>
      <w:spacing w:before="200"/>
      <w:outlineLvl w:val="1"/>
    </w:pPr>
    <w:rPr>
      <w:color w:val="4F81BD"/>
      <w:sz w:val="26"/>
      <w:szCs w:val="26"/>
    </w:rPr>
  </w:style>
  <w:style w:type="paragraph" w:styleId="berschrift3">
    <w:name w:val="heading 3"/>
    <w:basedOn w:val="Standard"/>
    <w:next w:val="Standard"/>
    <w:uiPriority w:val="9"/>
    <w:semiHidden/>
    <w:unhideWhenUsed/>
    <w:qFormat/>
    <w:pPr>
      <w:keepNext/>
      <w:keepLines/>
      <w:spacing w:before="200" w:after="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cs="Times New Roman"/>
      <w:b/>
      <w:color w:val="112E6B"/>
      <w:sz w:val="22"/>
      <w:szCs w:val="22"/>
      <w:lang w:val="de-DE" w:bidi="ar-SA"/>
    </w:rPr>
  </w:style>
  <w:style w:type="character" w:customStyle="1" w:styleId="F1Hauptberschrift1Zchn">
    <w:name w:val="F1: Hauptüberschrift1 Zchn"/>
    <w:locked/>
    <w:rPr>
      <w:rFonts w:ascii="Verdana" w:hAnsi="Verdana" w:cs="Times New Roman"/>
      <w:b/>
      <w:color w:val="112E6B"/>
      <w:sz w:val="22"/>
      <w:szCs w:val="22"/>
      <w:lang w:val="de-DE" w:bidi="ar-SA"/>
    </w:rPr>
  </w:style>
  <w:style w:type="character" w:customStyle="1" w:styleId="ZchnZchn">
    <w:name w:val="Zchn Zchn"/>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pPr>
      <w:spacing w:after="120"/>
      <w:ind w:right="1429"/>
    </w:pPr>
    <w:rPr>
      <w:bCs w:val="0"/>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link w:val="MMU1Zchn"/>
    <w:autoRedefine/>
    <w:qFormat/>
    <w:rsid w:val="00E53F23"/>
    <w:pPr>
      <w:keepNext w:val="0"/>
      <w:keepLines w:val="0"/>
      <w:spacing w:before="0" w:line="360" w:lineRule="auto"/>
      <w:ind w:right="1922"/>
    </w:pPr>
    <w:rPr>
      <w:rFonts w:ascii="Arial" w:hAnsi="Arial"/>
      <w:color w:val="112E6B"/>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Standard"/>
    <w:link w:val="MMVorspannZchn"/>
    <w:autoRedefine/>
    <w:qFormat/>
    <w:rsid w:val="00E53F23"/>
    <w:pPr>
      <w:spacing w:after="120" w:line="360" w:lineRule="auto"/>
      <w:ind w:right="1922"/>
      <w:jc w:val="both"/>
      <w:outlineLvl w:val="2"/>
    </w:pPr>
    <w:rPr>
      <w:rFonts w:ascii="Arial" w:eastAsia="Times New Roman" w:hAnsi="Arial" w:cs="Arial"/>
      <w:b/>
      <w:bCs/>
    </w:rPr>
  </w:style>
  <w:style w:type="paragraph" w:customStyle="1" w:styleId="MMU2">
    <w:name w:val="MM U2"/>
    <w:basedOn w:val="berschrift1"/>
    <w:next w:val="MMVorspann"/>
    <w:link w:val="MMU2Zchn"/>
    <w:autoRedefine/>
    <w:qFormat/>
    <w:rsid w:val="00E8737D"/>
    <w:pPr>
      <w:keepNext w:val="0"/>
      <w:keepLines w:val="0"/>
      <w:spacing w:before="0" w:after="360" w:line="360" w:lineRule="auto"/>
      <w:ind w:right="1922"/>
    </w:pPr>
    <w:rPr>
      <w:rFonts w:ascii="Arial" w:hAnsi="Arial" w:cs="Arial"/>
      <w:b w:val="0"/>
      <w:bCs w:val="0"/>
      <w:color w:val="auto"/>
      <w:spacing w:val="-2"/>
      <w:sz w:val="24"/>
      <w:szCs w:val="24"/>
      <w:lang w:val="en-GB"/>
    </w:rPr>
  </w:style>
  <w:style w:type="paragraph" w:customStyle="1" w:styleId="MMFlietext">
    <w:name w:val="MM Fließtext"/>
    <w:basedOn w:val="Standard"/>
    <w:link w:val="MMFlietextZchn"/>
    <w:autoRedefine/>
    <w:qFormat/>
    <w:rsid w:val="00E53F23"/>
    <w:pPr>
      <w:spacing w:after="120" w:line="360" w:lineRule="auto"/>
      <w:ind w:right="1922"/>
      <w:jc w:val="both"/>
    </w:pPr>
    <w:rPr>
      <w:rFonts w:ascii="Arial" w:hAnsi="Arial" w:cs="Arial"/>
    </w:rPr>
  </w:style>
  <w:style w:type="paragraph" w:customStyle="1" w:styleId="MMKurzprofil">
    <w:name w:val="MM Kurzprofil"/>
    <w:basedOn w:val="Standard"/>
    <w:link w:val="MMKurzprofilZchn"/>
    <w:autoRedefine/>
    <w:qFormat/>
    <w:rsid w:val="00E53F23"/>
    <w:pPr>
      <w:tabs>
        <w:tab w:val="left" w:pos="8505"/>
      </w:tabs>
      <w:spacing w:after="0" w:line="240" w:lineRule="auto"/>
      <w:ind w:right="1922"/>
    </w:pPr>
    <w:rPr>
      <w:rFonts w:ascii="Arial" w:hAnsi="Arial" w:cs="Arial"/>
      <w:color w:val="000000"/>
      <w:sz w:val="20"/>
      <w:szCs w:val="20"/>
    </w:rPr>
  </w:style>
  <w:style w:type="paragraph" w:customStyle="1" w:styleId="MMKurzprofilberschrift">
    <w:name w:val="MM Kurzprofil Überschrift"/>
    <w:basedOn w:val="Standard"/>
    <w:autoRedefine/>
    <w:qFormat/>
    <w:rsid w:val="00E53F23"/>
    <w:pPr>
      <w:spacing w:before="480" w:after="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B260C6"/>
    <w:pPr>
      <w:tabs>
        <w:tab w:val="left" w:pos="8505"/>
      </w:tabs>
      <w:spacing w:after="0" w:line="360" w:lineRule="auto"/>
      <w:ind w:right="1922"/>
    </w:pPr>
    <w:rPr>
      <w:rFonts w:ascii="Arial" w:hAnsi="Arial"/>
      <w:b/>
      <w:spacing w:val="-4"/>
      <w:szCs w:val="24"/>
      <w:lang w:val="en-G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berschrift2Zchn">
    <w:name w:val="Überschrift 2 Zchn"/>
    <w:link w:val="berschrift2"/>
    <w:uiPriority w:val="9"/>
    <w:semiHidden/>
    <w:rsid w:val="00C85271"/>
    <w:rPr>
      <w:rFonts w:ascii="Cambria" w:eastAsia="Times New Roman" w:hAnsi="Cambria" w:cs="Times New Roman"/>
      <w:b/>
      <w:bCs/>
      <w:color w:val="4F81BD"/>
      <w:sz w:val="26"/>
      <w:szCs w:val="26"/>
    </w:rPr>
  </w:style>
  <w:style w:type="character" w:customStyle="1" w:styleId="berschrift1Zchn">
    <w:name w:val="Überschrift 1 Zchn"/>
    <w:aliases w:val="F1: Hauptüberschrift Zchn"/>
    <w:link w:val="berschrift1"/>
    <w:uiPriority w:val="9"/>
    <w:rsid w:val="00E53F23"/>
    <w:rPr>
      <w:rFonts w:ascii="Cambria" w:eastAsia="Times New Roman" w:hAnsi="Cambria" w:cs="Times New Roman"/>
      <w:b/>
      <w:bCs/>
      <w:color w:val="365F91"/>
      <w:sz w:val="28"/>
      <w:szCs w:val="28"/>
    </w:rPr>
  </w:style>
  <w:style w:type="character" w:customStyle="1" w:styleId="KopfzeileZchn">
    <w:name w:val="Kopfzeile Zchn"/>
    <w:link w:val="Kopfzeile"/>
    <w:rsid w:val="00F65C50"/>
    <w:rPr>
      <w:sz w:val="22"/>
      <w:szCs w:val="22"/>
    </w:rPr>
  </w:style>
  <w:style w:type="character" w:customStyle="1" w:styleId="MMKurzprofilZchn">
    <w:name w:val="MM Kurzprofil Zchn"/>
    <w:basedOn w:val="Absatz-Standardschriftart"/>
    <w:link w:val="MMKurzprofil"/>
    <w:rsid w:val="00B572CD"/>
    <w:rPr>
      <w:rFonts w:ascii="Arial" w:hAnsi="Arial" w:cs="Arial"/>
      <w:color w:val="000000"/>
    </w:rPr>
  </w:style>
  <w:style w:type="character" w:customStyle="1" w:styleId="MMU1Zchn">
    <w:name w:val="MM U1 Zchn"/>
    <w:link w:val="MMU1"/>
    <w:rsid w:val="00E8737D"/>
    <w:rPr>
      <w:rFonts w:ascii="Arial" w:eastAsia="Times New Roman" w:hAnsi="Arial"/>
      <w:b/>
      <w:bCs/>
      <w:color w:val="112E6B"/>
      <w:sz w:val="24"/>
    </w:rPr>
  </w:style>
  <w:style w:type="character" w:customStyle="1" w:styleId="MMU2Zchn">
    <w:name w:val="MM U2 Zchn"/>
    <w:link w:val="MMU2"/>
    <w:rsid w:val="00E8737D"/>
    <w:rPr>
      <w:rFonts w:ascii="Arial" w:eastAsia="Times New Roman" w:hAnsi="Arial" w:cs="Arial"/>
      <w:spacing w:val="-2"/>
      <w:sz w:val="24"/>
      <w:szCs w:val="24"/>
      <w:lang w:val="en-GB"/>
    </w:rPr>
  </w:style>
  <w:style w:type="character" w:customStyle="1" w:styleId="MMVorspannZchn">
    <w:name w:val="MM Vorspann Zchn"/>
    <w:link w:val="MMVorspann"/>
    <w:rsid w:val="00E8737D"/>
    <w:rPr>
      <w:rFonts w:ascii="Arial" w:eastAsia="Times New Roman" w:hAnsi="Arial" w:cs="Arial"/>
      <w:b/>
      <w:bCs/>
      <w:sz w:val="22"/>
      <w:szCs w:val="22"/>
    </w:rPr>
  </w:style>
  <w:style w:type="character" w:customStyle="1" w:styleId="MMFlietextZchn">
    <w:name w:val="MM Fließtext Zchn"/>
    <w:link w:val="MMFlietext"/>
    <w:rsid w:val="00E8737D"/>
    <w:rPr>
      <w:rFonts w:ascii="Arial" w:hAnsi="Arial" w:cs="Arial"/>
      <w:sz w:val="22"/>
      <w:szCs w:val="22"/>
    </w:rPr>
  </w:style>
  <w:style w:type="character" w:customStyle="1" w:styleId="MMZwischenberschriftZchn">
    <w:name w:val="MM Zwischenüberschrift Zchn"/>
    <w:link w:val="MMZwischenberschrift"/>
    <w:rsid w:val="00E8737D"/>
    <w:rPr>
      <w:rFonts w:ascii="Arial" w:hAnsi="Arial"/>
      <w:b/>
      <w:spacing w:val="-4"/>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xing.com/companies/leonia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pages/LEONI-Group-official-profile/193146627391754" TargetMode="External"/><Relationship Id="rId5" Type="http://schemas.openxmlformats.org/officeDocument/2006/relationships/settings" Target="settings.xml"/><Relationship Id="rId15" Type="http://schemas.openxmlformats.org/officeDocument/2006/relationships/hyperlink" Target="mailto:presse@leoni.com" TargetMode="External"/><Relationship Id="rId10" Type="http://schemas.openxmlformats.org/officeDocument/2006/relationships/hyperlink" Target="http://www.leoni.com/en/financial-publication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leoni.com/en/press/releases/details/leonis-sales-almost-hold-steady-in-the-first-quarter-of-2016/"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AA13B-133A-4B0C-A2B0-6B279B28E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5778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Media Relations Press Release</vt:lpstr>
    </vt:vector>
  </TitlesOfParts>
  <Manager>Sven Schmidt</Manager>
  <Company>LEONI</Company>
  <LinksUpToDate>false</LinksUpToDate>
  <CharactersWithSpaces>6682</CharactersWithSpaces>
  <SharedDoc>false</SharedDoc>
  <HLinks>
    <vt:vector size="30" baseType="variant">
      <vt:variant>
        <vt:i4>917543</vt:i4>
      </vt:variant>
      <vt:variant>
        <vt:i4>18</vt:i4>
      </vt:variant>
      <vt:variant>
        <vt:i4>0</vt:i4>
      </vt:variant>
      <vt:variant>
        <vt:i4>5</vt:i4>
      </vt:variant>
      <vt:variant>
        <vt:lpwstr>mailto:presse@leoni.com</vt:lpwstr>
      </vt:variant>
      <vt:variant>
        <vt:lpwstr/>
      </vt:variant>
      <vt:variant>
        <vt:i4>3145833</vt:i4>
      </vt:variant>
      <vt:variant>
        <vt:i4>12</vt:i4>
      </vt:variant>
      <vt:variant>
        <vt:i4>0</vt:i4>
      </vt:variant>
      <vt:variant>
        <vt:i4>5</vt:i4>
      </vt:variant>
      <vt:variant>
        <vt:lpwstr>https://www.xing.com/companies/leoniag</vt:lpwstr>
      </vt:variant>
      <vt:variant>
        <vt:lpwstr/>
      </vt:variant>
      <vt:variant>
        <vt:i4>8257634</vt:i4>
      </vt:variant>
      <vt:variant>
        <vt:i4>6</vt:i4>
      </vt:variant>
      <vt:variant>
        <vt:i4>0</vt:i4>
      </vt:variant>
      <vt:variant>
        <vt:i4>5</vt:i4>
      </vt:variant>
      <vt:variant>
        <vt:lpwstr>http://www.facebook.com/pages/LEONI-Group-official-profile/193146627391754</vt:lpwstr>
      </vt:variant>
      <vt:variant>
        <vt:lpwstr/>
      </vt:variant>
      <vt:variant>
        <vt:i4>5963780</vt:i4>
      </vt:variant>
      <vt:variant>
        <vt:i4>3</vt:i4>
      </vt:variant>
      <vt:variant>
        <vt:i4>0</vt:i4>
      </vt:variant>
      <vt:variant>
        <vt:i4>5</vt:i4>
      </vt:variant>
      <vt:variant>
        <vt:lpwstr>http://www.leoni.com/?q3-2011&amp;L=1</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Press Release</dc:title>
  <dc:creator>Corporate Communications</dc:creator>
  <cp:lastModifiedBy>Wittmann, Ina</cp:lastModifiedBy>
  <cp:revision>7</cp:revision>
  <cp:lastPrinted>2016-05-10T16:10:00Z</cp:lastPrinted>
  <dcterms:created xsi:type="dcterms:W3CDTF">2016-05-10T08:43:00Z</dcterms:created>
  <dcterms:modified xsi:type="dcterms:W3CDTF">2016-05-10T16:10:00Z</dcterms:modified>
</cp:coreProperties>
</file>