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E5" w:rsidRPr="00366FE5" w:rsidRDefault="00366FE5" w:rsidP="00366FE5">
      <w:pPr>
        <w:pStyle w:val="MMU1"/>
        <w:rPr>
          <w:lang w:val="en-US"/>
        </w:rPr>
      </w:pPr>
      <w:r w:rsidRPr="00366FE5">
        <w:rPr>
          <w:lang w:val="en-US"/>
        </w:rPr>
        <w:t>Leoni on target after the 1st half of 2016</w:t>
      </w:r>
    </w:p>
    <w:p w:rsidR="00366FE5" w:rsidRPr="00366FE5" w:rsidRDefault="00366FE5" w:rsidP="00366FE5">
      <w:pPr>
        <w:pStyle w:val="MMU2"/>
        <w:rPr>
          <w:lang w:val="en-US"/>
        </w:rPr>
      </w:pPr>
      <w:r w:rsidRPr="00366FE5">
        <w:rPr>
          <w:lang w:val="en-US"/>
        </w:rPr>
        <w:t>6-month EBIT of EUR 62 million beats expectations</w:t>
      </w:r>
    </w:p>
    <w:p w:rsidR="00366FE5" w:rsidRPr="00366FE5" w:rsidRDefault="00366FE5" w:rsidP="00366FE5">
      <w:pPr>
        <w:pStyle w:val="MMVorspann"/>
        <w:rPr>
          <w:lang w:val="en-US"/>
        </w:rPr>
      </w:pPr>
      <w:r w:rsidRPr="00366FE5">
        <w:rPr>
          <w:lang w:val="en-US"/>
        </w:rPr>
        <w:t xml:space="preserve">Nuremberg, 10 August 2016 – Leoni, the leading European provider of cables and cable systems to the automotive sector and other industries, increased its business slightly from its own resources in the first half of 2016. However, adverse effects involving the price of copper and changes in exchange rates cancelled out this growth. Furthermore, the sales of a subsidiary in China, which was transferred into a joint venture in December 2015, were no longer included in the amount of business. Compared with the same period of the previous year, the Company reported virtually unchanged consolidated sales of EUR 2,238 million for the first six months of 2016 (previous year: EUR 2,265 million), of which EUR 1,148 million (previous year: EUR 1,156 million) was generated in the second quarter. </w:t>
      </w:r>
    </w:p>
    <w:p w:rsidR="00366FE5" w:rsidRPr="00366FE5" w:rsidRDefault="00366FE5" w:rsidP="00366FE5">
      <w:pPr>
        <w:pStyle w:val="MMFlietext"/>
        <w:rPr>
          <w:lang w:val="en-US"/>
        </w:rPr>
      </w:pPr>
      <w:r w:rsidRPr="00366FE5">
        <w:rPr>
          <w:lang w:val="en-US"/>
        </w:rPr>
        <w:t xml:space="preserve">The LEONI Group's earnings before interest and taxes (EBIT) amounted to EUR 61.9 million in the first half of 2016 (previous year: EUR 85.5 million) and to EUR 37.6 million in the second quarter (previous year: EUR 50.4 million). Alongside operational improvements, the result benefited from </w:t>
      </w:r>
      <w:proofErr w:type="spellStart"/>
      <w:r w:rsidRPr="00366FE5">
        <w:rPr>
          <w:lang w:val="en-US"/>
        </w:rPr>
        <w:t>favourable</w:t>
      </w:r>
      <w:proofErr w:type="spellEnd"/>
      <w:r w:rsidRPr="00366FE5">
        <w:rPr>
          <w:lang w:val="en-US"/>
        </w:rPr>
        <w:t xml:space="preserve">, exceptional effects involving changes in exchange rates as well as the reversal of provisions and thus exceeded market expectations. As expected, the EBIT for the 1st half also included major restructuring expenses of EUR 21.1 million (previous year: EUR 1.5 million) pertaining mainly to transformation of the Wiring Systems Division. Disregarding these costs, half-year EBIT came to EUR 83.0 million (previous year: EUR 87.0 million) – in the second quarter the figure improved from EUR 51.9 million to EUR 56.4 million. After taxes, LEONI generated consolidated net income of EUR 35.9 million in the period from January to June 2016 (previous year: EUR 51.8 million).  </w:t>
      </w:r>
    </w:p>
    <w:p w:rsidR="00366FE5" w:rsidRPr="00366FE5" w:rsidRDefault="00366FE5" w:rsidP="00366FE5">
      <w:pPr>
        <w:pStyle w:val="MMZwischenberschrift"/>
        <w:rPr>
          <w:lang w:val="en-US"/>
        </w:rPr>
      </w:pPr>
    </w:p>
    <w:p w:rsidR="00366FE5" w:rsidRPr="00366FE5" w:rsidRDefault="00366FE5" w:rsidP="00366FE5">
      <w:pPr>
        <w:pStyle w:val="MMZwischenberschrift"/>
        <w:rPr>
          <w:lang w:val="en-US"/>
        </w:rPr>
      </w:pPr>
    </w:p>
    <w:p w:rsidR="00366FE5" w:rsidRPr="00366FE5" w:rsidRDefault="00366FE5" w:rsidP="00366FE5">
      <w:pPr>
        <w:pStyle w:val="MMZwischenberschrift"/>
        <w:rPr>
          <w:lang w:val="en-US"/>
        </w:rPr>
      </w:pPr>
    </w:p>
    <w:p w:rsidR="00366FE5" w:rsidRPr="00B8341D" w:rsidRDefault="00366FE5" w:rsidP="00366FE5">
      <w:pPr>
        <w:pStyle w:val="MMZwischenberschrift"/>
        <w:rPr>
          <w:lang w:val="en-US"/>
        </w:rPr>
      </w:pPr>
      <w:r w:rsidRPr="00B8341D">
        <w:rPr>
          <w:lang w:val="en-US"/>
        </w:rPr>
        <w:lastRenderedPageBreak/>
        <w:t>WSD: quarterly sales up 5 percent</w:t>
      </w:r>
    </w:p>
    <w:p w:rsidR="00366FE5" w:rsidRPr="00366FE5" w:rsidRDefault="00366FE5" w:rsidP="00366FE5">
      <w:pPr>
        <w:pStyle w:val="MMFlietext"/>
        <w:rPr>
          <w:lang w:val="en-US"/>
        </w:rPr>
      </w:pPr>
      <w:r w:rsidRPr="00366FE5">
        <w:rPr>
          <w:lang w:val="en-US"/>
        </w:rPr>
        <w:t xml:space="preserve">The Wiring Systems Division (WSD) increased its sales by nearly 5 percent to EUR 716 million in the second quarter of 2016 (previous year: EUR 684 million) and by just over 2 percent to EUR 1,367 million in the first six months (previous year: EUR 1,338 million).   The sales of wiring systems and cable harnesses for German and other European motor vehicle manufacturers were particularly encouraging. Various production-run starts for new models of multinational carmakers contributed to the growth. The division’s EBIT amounted to EUR 22.1 million (previous year: EUR 52.8 million). As announced, this included major restructuring expenses, most of which were incurred in the second quarter. Adjusted for this factor, the division’s six-month EBIT worked out to EUR 41.8 million (previous year: EUR 53.9 million).  EBIT improved by a significant EUR 5.0 million in the second quarter versus the first three months to EUR 17.1 million (previous year: EUR 35.0 million). Stripped of the restructuring costs, the figure rose in the year to date from EUR 6.6 million in the first quarter to EUR 35.2 million (previous year: EUR 36.1 million) in the second. </w:t>
      </w:r>
    </w:p>
    <w:p w:rsidR="00366FE5" w:rsidRPr="00366FE5" w:rsidRDefault="00366FE5" w:rsidP="00366FE5">
      <w:pPr>
        <w:pStyle w:val="MMZwischenberschrift"/>
        <w:rPr>
          <w:lang w:val="en-US"/>
        </w:rPr>
      </w:pPr>
      <w:r w:rsidRPr="00366FE5">
        <w:rPr>
          <w:lang w:val="en-US"/>
        </w:rPr>
        <w:t xml:space="preserve">WCS: EBIT grows to € 39.8 million in the first half </w:t>
      </w:r>
    </w:p>
    <w:p w:rsidR="00366FE5" w:rsidRPr="00366FE5" w:rsidRDefault="00366FE5" w:rsidP="00366FE5">
      <w:pPr>
        <w:pStyle w:val="MMFlietext"/>
        <w:rPr>
          <w:lang w:val="en-US"/>
        </w:rPr>
      </w:pPr>
      <w:r w:rsidRPr="00366FE5">
        <w:rPr>
          <w:lang w:val="en-US"/>
        </w:rPr>
        <w:t xml:space="preserve">In the Wire &amp; Cable Solutions (WCS) Division, the strong demand for special cables for the automotive, medical technology and fiber optics industries in particular led to a slight organic increase in sales. Major, adverse effects resulting from changes in exchange rates and the price of copper offset this result. The division’s sales therefore dipped to EUR 433 million in the second quarter of 2016 (previous year: EUR 472 million) and to EUR 871 million in the first half (previous year: EUR 927 million). Thanks to this good operating performance and an improved product mix, however, the WCS Division’s EBIT nevertheless increased by about 32 percent to EUR 20.5 million in the period from April through June 2016 (previous year: EUR 15.5 million) and by more than 22 percent to EUR 39.8 million in the first six months (previous year: EUR 32.5 million). </w:t>
      </w:r>
    </w:p>
    <w:p w:rsidR="00366FE5" w:rsidRPr="00366FE5" w:rsidRDefault="00366FE5" w:rsidP="00366FE5">
      <w:pPr>
        <w:pStyle w:val="MMFlietext"/>
        <w:rPr>
          <w:lang w:val="en-US"/>
        </w:rPr>
      </w:pPr>
      <w:r w:rsidRPr="00366FE5">
        <w:rPr>
          <w:lang w:val="en-US"/>
        </w:rPr>
        <w:lastRenderedPageBreak/>
        <w:t xml:space="preserve">The WCS Division has devised a new business strategy to tap new market and sales potential. The objective is to develop the division from being a dependable wire and cable manufacturer to becoming a customer-oriented solution provider and systems partner for intelligent and secure energy transmission and data management systems. </w:t>
      </w:r>
    </w:p>
    <w:p w:rsidR="00366FE5" w:rsidRPr="00366FE5" w:rsidRDefault="00366FE5" w:rsidP="00366FE5">
      <w:pPr>
        <w:pStyle w:val="MMZwischenberschrift"/>
        <w:rPr>
          <w:lang w:val="en-US"/>
        </w:rPr>
      </w:pPr>
      <w:r w:rsidRPr="00366FE5">
        <w:rPr>
          <w:lang w:val="en-US"/>
        </w:rPr>
        <w:t>Full-year forecast reaffirmed</w:t>
      </w:r>
    </w:p>
    <w:p w:rsidR="003E21B1" w:rsidRDefault="00366FE5" w:rsidP="003E21B1">
      <w:pPr>
        <w:pStyle w:val="MMFlietext"/>
        <w:rPr>
          <w:lang w:val="en-US"/>
        </w:rPr>
      </w:pPr>
      <w:r w:rsidRPr="00366FE5">
        <w:rPr>
          <w:lang w:val="en-US"/>
        </w:rPr>
        <w:t>The Management Board of Leoni AG still expects second half sales to be down slightly from the first half for seasonal reasons and a consequently lower consolidated EBIT figure. There are furthermore unlikely to any similarly large exceptional factors to boost earnings as in the year so far. Leoni is confident that it will at least match its forecast, which now looks conservative: consolidated sales are projected at about EUR 4.4 billion (previous year: EUR 4.5 billion) with consolidated EBIT coming to approximately EUR 105 million (previous year: EUR 151.3 million).   This forecast result allows for restructuring expenses of about EUR 30 million over the year as a whole.</w:t>
      </w:r>
    </w:p>
    <w:p w:rsidR="003E21B1" w:rsidRPr="003E21B1" w:rsidRDefault="000E4FB5" w:rsidP="003E21B1">
      <w:pPr>
        <w:pStyle w:val="MMFlietext"/>
        <w:rPr>
          <w:lang w:val="en-US"/>
        </w:rPr>
      </w:pPr>
      <w:r>
        <w:rPr>
          <w:i/>
          <w:lang w:val="en-US"/>
        </w:rPr>
        <w:t>(4,</w:t>
      </w:r>
      <w:r w:rsidR="00366FE5" w:rsidRPr="003E21B1">
        <w:rPr>
          <w:i/>
          <w:lang w:val="en-US"/>
        </w:rPr>
        <w:t xml:space="preserve">910 </w:t>
      </w:r>
      <w:r w:rsidRPr="0065356D">
        <w:rPr>
          <w:i/>
          <w:lang w:val="en-GB"/>
        </w:rPr>
        <w:t>characters incl. blanks)</w:t>
      </w:r>
    </w:p>
    <w:p w:rsidR="00B84EE5" w:rsidRPr="003E21B1" w:rsidRDefault="003E21B1" w:rsidP="003E21B1">
      <w:pPr>
        <w:pStyle w:val="MMKurzprofilberschrift"/>
        <w:spacing w:after="120"/>
        <w:rPr>
          <w:lang w:val="en-US"/>
        </w:rPr>
      </w:pPr>
      <w:r w:rsidRPr="003E21B1">
        <w:rPr>
          <w:lang w:val="en-US"/>
        </w:rPr>
        <w:t>Leoni performance overview</w:t>
      </w:r>
    </w:p>
    <w:tbl>
      <w:tblPr>
        <w:tblW w:w="7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48"/>
        <w:gridCol w:w="803"/>
        <w:gridCol w:w="803"/>
        <w:gridCol w:w="804"/>
        <w:gridCol w:w="803"/>
        <w:gridCol w:w="803"/>
        <w:gridCol w:w="804"/>
      </w:tblGrid>
      <w:tr w:rsidR="0053287E" w:rsidRPr="003E21B1" w:rsidTr="007B067E">
        <w:tc>
          <w:tcPr>
            <w:tcW w:w="2948" w:type="dxa"/>
            <w:vMerge w:val="restart"/>
            <w:shd w:val="clear" w:color="auto" w:fill="auto"/>
            <w:vAlign w:val="center"/>
          </w:tcPr>
          <w:p w:rsidR="0053287E" w:rsidRPr="003E21B1" w:rsidRDefault="00B84EE5" w:rsidP="00433392">
            <w:pPr>
              <w:tabs>
                <w:tab w:val="left" w:pos="8505"/>
              </w:tabs>
              <w:rPr>
                <w:rFonts w:ascii="Arial" w:hAnsi="Arial" w:cs="Arial"/>
                <w:b/>
                <w:sz w:val="18"/>
                <w:szCs w:val="18"/>
                <w:lang w:val="en-US"/>
              </w:rPr>
            </w:pPr>
            <w:r w:rsidRPr="003E21B1">
              <w:rPr>
                <w:rFonts w:ascii="Arial" w:hAnsi="Arial" w:cs="Arial"/>
                <w:b/>
                <w:sz w:val="18"/>
                <w:szCs w:val="18"/>
                <w:lang w:val="en-US"/>
              </w:rPr>
              <w:t>Group key figures</w:t>
            </w:r>
          </w:p>
          <w:p w:rsidR="0053287E" w:rsidRPr="003E21B1" w:rsidRDefault="0053287E" w:rsidP="00433392">
            <w:pPr>
              <w:tabs>
                <w:tab w:val="left" w:pos="8505"/>
              </w:tabs>
              <w:rPr>
                <w:rFonts w:ascii="Arial" w:hAnsi="Arial" w:cs="Arial"/>
                <w:b/>
                <w:sz w:val="18"/>
                <w:szCs w:val="18"/>
                <w:lang w:val="en-US"/>
              </w:rPr>
            </w:pPr>
          </w:p>
        </w:tc>
        <w:tc>
          <w:tcPr>
            <w:tcW w:w="2410" w:type="dxa"/>
            <w:gridSpan w:val="3"/>
            <w:shd w:val="clear" w:color="auto" w:fill="auto"/>
            <w:vAlign w:val="center"/>
          </w:tcPr>
          <w:p w:rsidR="0053287E" w:rsidRPr="003E21B1" w:rsidRDefault="00787B3E" w:rsidP="00787B3E">
            <w:pPr>
              <w:tabs>
                <w:tab w:val="left" w:pos="8505"/>
              </w:tabs>
              <w:jc w:val="center"/>
              <w:rPr>
                <w:rFonts w:ascii="Arial" w:hAnsi="Arial" w:cs="Arial"/>
                <w:b/>
                <w:sz w:val="18"/>
                <w:szCs w:val="18"/>
                <w:lang w:val="en-US"/>
              </w:rPr>
            </w:pPr>
            <w:r w:rsidRPr="003E21B1">
              <w:rPr>
                <w:rFonts w:ascii="Arial" w:hAnsi="Arial" w:cs="Arial"/>
                <w:b/>
                <w:sz w:val="18"/>
                <w:szCs w:val="18"/>
                <w:lang w:val="en-US"/>
              </w:rPr>
              <w:t>2nd quarter</w:t>
            </w:r>
          </w:p>
        </w:tc>
        <w:tc>
          <w:tcPr>
            <w:tcW w:w="2410" w:type="dxa"/>
            <w:gridSpan w:val="3"/>
            <w:shd w:val="clear" w:color="auto" w:fill="auto"/>
            <w:vAlign w:val="center"/>
          </w:tcPr>
          <w:p w:rsidR="0053287E" w:rsidRPr="003E21B1" w:rsidRDefault="0053287E" w:rsidP="00787B3E">
            <w:pPr>
              <w:tabs>
                <w:tab w:val="left" w:pos="8505"/>
              </w:tabs>
              <w:ind w:right="113"/>
              <w:jc w:val="center"/>
              <w:rPr>
                <w:rFonts w:ascii="Arial" w:hAnsi="Arial" w:cs="Arial"/>
                <w:b/>
                <w:sz w:val="18"/>
                <w:szCs w:val="18"/>
                <w:lang w:val="en-US"/>
              </w:rPr>
            </w:pPr>
            <w:r w:rsidRPr="003E21B1">
              <w:rPr>
                <w:rFonts w:ascii="Arial" w:hAnsi="Arial" w:cs="Arial"/>
                <w:b/>
                <w:sz w:val="18"/>
                <w:szCs w:val="18"/>
                <w:lang w:val="en-US"/>
              </w:rPr>
              <w:t>1</w:t>
            </w:r>
            <w:r w:rsidR="00787B3E" w:rsidRPr="003E21B1">
              <w:rPr>
                <w:rFonts w:ascii="Arial" w:hAnsi="Arial" w:cs="Arial"/>
                <w:b/>
                <w:sz w:val="18"/>
                <w:szCs w:val="18"/>
                <w:lang w:val="en-US"/>
              </w:rPr>
              <w:t>st half</w:t>
            </w:r>
          </w:p>
        </w:tc>
      </w:tr>
      <w:tr w:rsidR="0053287E" w:rsidRPr="003E21B1" w:rsidTr="007B067E">
        <w:tc>
          <w:tcPr>
            <w:tcW w:w="2948" w:type="dxa"/>
            <w:vMerge/>
            <w:vAlign w:val="center"/>
          </w:tcPr>
          <w:p w:rsidR="0053287E" w:rsidRPr="003E21B1" w:rsidRDefault="0053287E" w:rsidP="00433392">
            <w:pPr>
              <w:tabs>
                <w:tab w:val="left" w:pos="8505"/>
              </w:tabs>
              <w:rPr>
                <w:rFonts w:ascii="Arial" w:hAnsi="Arial" w:cs="Arial"/>
                <w:b/>
                <w:sz w:val="18"/>
                <w:szCs w:val="18"/>
                <w:lang w:val="en-US"/>
              </w:rPr>
            </w:pPr>
          </w:p>
        </w:tc>
        <w:tc>
          <w:tcPr>
            <w:tcW w:w="803" w:type="dxa"/>
            <w:noWrap/>
            <w:tcMar>
              <w:left w:w="28" w:type="dxa"/>
              <w:right w:w="28" w:type="dxa"/>
            </w:tcMar>
            <w:vAlign w:val="center"/>
          </w:tcPr>
          <w:p w:rsidR="0053287E" w:rsidRPr="003E21B1" w:rsidRDefault="0053287E" w:rsidP="00D6203C">
            <w:pPr>
              <w:tabs>
                <w:tab w:val="left" w:pos="8505"/>
              </w:tabs>
              <w:jc w:val="center"/>
              <w:rPr>
                <w:rFonts w:ascii="Arial" w:hAnsi="Arial" w:cs="Arial"/>
                <w:b/>
                <w:sz w:val="18"/>
                <w:szCs w:val="18"/>
                <w:lang w:val="en-US"/>
              </w:rPr>
            </w:pPr>
            <w:r w:rsidRPr="003E21B1">
              <w:rPr>
                <w:rFonts w:ascii="Arial" w:hAnsi="Arial" w:cs="Arial"/>
                <w:b/>
                <w:sz w:val="18"/>
                <w:szCs w:val="18"/>
                <w:lang w:val="en-US"/>
              </w:rPr>
              <w:t>201</w:t>
            </w:r>
            <w:r w:rsidR="003E21B1" w:rsidRPr="003E21B1">
              <w:rPr>
                <w:rFonts w:ascii="Arial" w:hAnsi="Arial" w:cs="Arial"/>
                <w:b/>
                <w:sz w:val="18"/>
                <w:szCs w:val="18"/>
                <w:lang w:val="en-US"/>
              </w:rPr>
              <w:t>6</w:t>
            </w:r>
          </w:p>
        </w:tc>
        <w:tc>
          <w:tcPr>
            <w:tcW w:w="803" w:type="dxa"/>
            <w:tcMar>
              <w:left w:w="28" w:type="dxa"/>
              <w:right w:w="28" w:type="dxa"/>
            </w:tcMar>
            <w:vAlign w:val="center"/>
          </w:tcPr>
          <w:p w:rsidR="0053287E" w:rsidRPr="003E21B1" w:rsidRDefault="0053287E" w:rsidP="00D6203C">
            <w:pPr>
              <w:tabs>
                <w:tab w:val="left" w:pos="8505"/>
              </w:tabs>
              <w:jc w:val="center"/>
              <w:rPr>
                <w:rFonts w:ascii="Arial" w:hAnsi="Arial" w:cs="Arial"/>
                <w:b/>
                <w:sz w:val="18"/>
                <w:szCs w:val="18"/>
                <w:lang w:val="en-US"/>
              </w:rPr>
            </w:pPr>
            <w:r w:rsidRPr="003E21B1">
              <w:rPr>
                <w:rFonts w:ascii="Arial" w:hAnsi="Arial" w:cs="Arial"/>
                <w:b/>
                <w:sz w:val="18"/>
                <w:szCs w:val="18"/>
                <w:lang w:val="en-US"/>
              </w:rPr>
              <w:t>201</w:t>
            </w:r>
            <w:r w:rsidR="003E21B1" w:rsidRPr="003E21B1">
              <w:rPr>
                <w:rFonts w:ascii="Arial" w:hAnsi="Arial" w:cs="Arial"/>
                <w:b/>
                <w:sz w:val="18"/>
                <w:szCs w:val="18"/>
                <w:lang w:val="en-US"/>
              </w:rPr>
              <w:t>5</w:t>
            </w:r>
          </w:p>
        </w:tc>
        <w:tc>
          <w:tcPr>
            <w:tcW w:w="804" w:type="dxa"/>
            <w:tcMar>
              <w:left w:w="28" w:type="dxa"/>
              <w:right w:w="28" w:type="dxa"/>
            </w:tcMar>
          </w:tcPr>
          <w:p w:rsidR="0053287E" w:rsidRPr="003E21B1" w:rsidRDefault="00787B3E" w:rsidP="00787B3E">
            <w:pPr>
              <w:tabs>
                <w:tab w:val="left" w:pos="8505"/>
              </w:tabs>
              <w:jc w:val="center"/>
              <w:rPr>
                <w:rFonts w:ascii="Arial" w:hAnsi="Arial" w:cs="Arial"/>
                <w:b/>
                <w:sz w:val="18"/>
                <w:szCs w:val="18"/>
                <w:lang w:val="en-US"/>
              </w:rPr>
            </w:pPr>
            <w:r w:rsidRPr="003E21B1">
              <w:rPr>
                <w:rFonts w:ascii="Arial" w:hAnsi="Arial" w:cs="Arial"/>
                <w:b/>
                <w:sz w:val="18"/>
                <w:szCs w:val="18"/>
                <w:lang w:val="en-US"/>
              </w:rPr>
              <w:t>Change</w:t>
            </w:r>
          </w:p>
        </w:tc>
        <w:tc>
          <w:tcPr>
            <w:tcW w:w="803" w:type="dxa"/>
            <w:tcMar>
              <w:left w:w="28" w:type="dxa"/>
              <w:right w:w="28" w:type="dxa"/>
            </w:tcMar>
            <w:vAlign w:val="center"/>
          </w:tcPr>
          <w:p w:rsidR="0053287E" w:rsidRPr="003E21B1" w:rsidRDefault="0053287E" w:rsidP="00D6203C">
            <w:pPr>
              <w:tabs>
                <w:tab w:val="left" w:pos="8505"/>
              </w:tabs>
              <w:jc w:val="center"/>
              <w:rPr>
                <w:rFonts w:ascii="Arial" w:hAnsi="Arial" w:cs="Arial"/>
                <w:b/>
                <w:sz w:val="18"/>
                <w:szCs w:val="18"/>
                <w:lang w:val="en-US"/>
              </w:rPr>
            </w:pPr>
            <w:r w:rsidRPr="003E21B1">
              <w:rPr>
                <w:rFonts w:ascii="Arial" w:hAnsi="Arial" w:cs="Arial"/>
                <w:b/>
                <w:sz w:val="18"/>
                <w:szCs w:val="18"/>
                <w:lang w:val="en-US"/>
              </w:rPr>
              <w:t>201</w:t>
            </w:r>
            <w:r w:rsidR="003E21B1" w:rsidRPr="003E21B1">
              <w:rPr>
                <w:rFonts w:ascii="Arial" w:hAnsi="Arial" w:cs="Arial"/>
                <w:b/>
                <w:sz w:val="18"/>
                <w:szCs w:val="18"/>
                <w:lang w:val="en-US"/>
              </w:rPr>
              <w:t>6</w:t>
            </w:r>
          </w:p>
        </w:tc>
        <w:tc>
          <w:tcPr>
            <w:tcW w:w="803" w:type="dxa"/>
            <w:tcMar>
              <w:left w:w="28" w:type="dxa"/>
              <w:right w:w="28" w:type="dxa"/>
            </w:tcMar>
            <w:vAlign w:val="center"/>
          </w:tcPr>
          <w:p w:rsidR="0053287E" w:rsidRPr="003E21B1" w:rsidRDefault="0053287E" w:rsidP="00D6203C">
            <w:pPr>
              <w:tabs>
                <w:tab w:val="left" w:pos="8505"/>
              </w:tabs>
              <w:jc w:val="center"/>
              <w:rPr>
                <w:rFonts w:ascii="Arial" w:hAnsi="Arial" w:cs="Arial"/>
                <w:b/>
                <w:sz w:val="18"/>
                <w:szCs w:val="18"/>
                <w:lang w:val="en-US"/>
              </w:rPr>
            </w:pPr>
            <w:r w:rsidRPr="003E21B1">
              <w:rPr>
                <w:rFonts w:ascii="Arial" w:hAnsi="Arial" w:cs="Arial"/>
                <w:b/>
                <w:sz w:val="18"/>
                <w:szCs w:val="18"/>
                <w:lang w:val="en-US"/>
              </w:rPr>
              <w:t>201</w:t>
            </w:r>
            <w:r w:rsidR="003E21B1" w:rsidRPr="003E21B1">
              <w:rPr>
                <w:rFonts w:ascii="Arial" w:hAnsi="Arial" w:cs="Arial"/>
                <w:b/>
                <w:sz w:val="18"/>
                <w:szCs w:val="18"/>
                <w:lang w:val="en-US"/>
              </w:rPr>
              <w:t>5</w:t>
            </w:r>
          </w:p>
        </w:tc>
        <w:tc>
          <w:tcPr>
            <w:tcW w:w="804" w:type="dxa"/>
            <w:tcMar>
              <w:left w:w="28" w:type="dxa"/>
              <w:right w:w="28" w:type="dxa"/>
            </w:tcMar>
            <w:vAlign w:val="center"/>
          </w:tcPr>
          <w:p w:rsidR="0053287E" w:rsidRPr="003E21B1" w:rsidRDefault="00787B3E" w:rsidP="00787B3E">
            <w:pPr>
              <w:tabs>
                <w:tab w:val="left" w:pos="8505"/>
              </w:tabs>
              <w:jc w:val="center"/>
              <w:rPr>
                <w:rFonts w:ascii="Arial" w:hAnsi="Arial" w:cs="Arial"/>
                <w:b/>
                <w:sz w:val="18"/>
                <w:szCs w:val="18"/>
                <w:lang w:val="en-US"/>
              </w:rPr>
            </w:pPr>
            <w:r w:rsidRPr="003E21B1">
              <w:rPr>
                <w:rFonts w:ascii="Arial" w:hAnsi="Arial" w:cs="Arial"/>
                <w:b/>
                <w:sz w:val="18"/>
                <w:szCs w:val="18"/>
                <w:lang w:val="en-US"/>
              </w:rPr>
              <w:t>Change</w:t>
            </w:r>
          </w:p>
        </w:tc>
      </w:tr>
      <w:tr w:rsidR="003E21B1" w:rsidRPr="0078384F" w:rsidTr="007B067E">
        <w:trPr>
          <w:trHeight w:val="284"/>
        </w:trPr>
        <w:tc>
          <w:tcPr>
            <w:tcW w:w="2948" w:type="dxa"/>
            <w:vAlign w:val="center"/>
          </w:tcPr>
          <w:p w:rsidR="003E21B1" w:rsidRPr="003E21B1" w:rsidRDefault="003E21B1" w:rsidP="00433392">
            <w:pPr>
              <w:tabs>
                <w:tab w:val="left" w:pos="8505"/>
              </w:tabs>
              <w:rPr>
                <w:lang w:val="en-US"/>
              </w:rPr>
            </w:pPr>
            <w:r w:rsidRPr="0078384F">
              <w:rPr>
                <w:rFonts w:ascii="Arial" w:hAnsi="Arial"/>
                <w:sz w:val="18"/>
                <w:lang w:val="en-GB"/>
              </w:rPr>
              <w:t>Sales [€ million]</w:t>
            </w:r>
          </w:p>
        </w:tc>
        <w:tc>
          <w:tcPr>
            <w:tcW w:w="803" w:type="dxa"/>
            <w:noWrap/>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lang w:val="en-US"/>
              </w:rPr>
              <w:t>1,148.</w:t>
            </w:r>
            <w:r w:rsidR="003E21B1">
              <w:rPr>
                <w:rFonts w:ascii="Arial" w:hAnsi="Arial"/>
                <w:sz w:val="18"/>
                <w:szCs w:val="18"/>
              </w:rPr>
              <w:t>2</w:t>
            </w:r>
          </w:p>
        </w:tc>
        <w:tc>
          <w:tcPr>
            <w:tcW w:w="803" w:type="dxa"/>
            <w:tcMar>
              <w:left w:w="28" w:type="dxa"/>
              <w:right w:w="28" w:type="dxa"/>
            </w:tcMar>
            <w:vAlign w:val="center"/>
          </w:tcPr>
          <w:p w:rsidR="003E21B1" w:rsidRDefault="003E21B1" w:rsidP="00C648B8">
            <w:pPr>
              <w:tabs>
                <w:tab w:val="left" w:pos="8505"/>
              </w:tabs>
              <w:spacing w:line="276" w:lineRule="auto"/>
              <w:jc w:val="center"/>
              <w:rPr>
                <w:rFonts w:ascii="Arial" w:hAnsi="Arial" w:cs="Arial"/>
                <w:sz w:val="18"/>
                <w:szCs w:val="18"/>
              </w:rPr>
            </w:pPr>
            <w:r>
              <w:rPr>
                <w:rFonts w:ascii="Arial" w:hAnsi="Arial"/>
                <w:sz w:val="18"/>
                <w:szCs w:val="18"/>
              </w:rPr>
              <w:t>1.155,7</w:t>
            </w:r>
          </w:p>
        </w:tc>
        <w:tc>
          <w:tcPr>
            <w:tcW w:w="804"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-0.</w:t>
            </w:r>
            <w:r w:rsidR="003E21B1">
              <w:rPr>
                <w:rFonts w:ascii="Arial" w:hAnsi="Arial"/>
                <w:sz w:val="18"/>
                <w:szCs w:val="18"/>
              </w:rPr>
              <w:t>7 %</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2,237.</w:t>
            </w:r>
            <w:r w:rsidR="003E21B1">
              <w:rPr>
                <w:rFonts w:ascii="Arial" w:hAnsi="Arial"/>
                <w:sz w:val="18"/>
                <w:szCs w:val="18"/>
              </w:rPr>
              <w:t>5</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2,264.</w:t>
            </w:r>
            <w:r w:rsidR="003E21B1">
              <w:rPr>
                <w:rFonts w:ascii="Arial" w:hAnsi="Arial"/>
                <w:sz w:val="18"/>
                <w:szCs w:val="18"/>
              </w:rPr>
              <w:t>5</w:t>
            </w:r>
          </w:p>
        </w:tc>
        <w:tc>
          <w:tcPr>
            <w:tcW w:w="804"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-1.</w:t>
            </w:r>
            <w:r w:rsidR="003E21B1">
              <w:rPr>
                <w:rFonts w:ascii="Arial" w:hAnsi="Arial"/>
                <w:sz w:val="18"/>
                <w:szCs w:val="18"/>
              </w:rPr>
              <w:t>2 %</w:t>
            </w:r>
          </w:p>
        </w:tc>
      </w:tr>
      <w:tr w:rsidR="003E21B1" w:rsidRPr="0078384F" w:rsidTr="007B067E">
        <w:trPr>
          <w:trHeight w:val="284"/>
        </w:trPr>
        <w:tc>
          <w:tcPr>
            <w:tcW w:w="2948" w:type="dxa"/>
            <w:vAlign w:val="center"/>
          </w:tcPr>
          <w:p w:rsidR="003E21B1" w:rsidRPr="0078384F" w:rsidRDefault="003E21B1" w:rsidP="00433392">
            <w:pPr>
              <w:tabs>
                <w:tab w:val="left" w:pos="8505"/>
              </w:tabs>
            </w:pPr>
            <w:r w:rsidRPr="0078384F">
              <w:rPr>
                <w:rFonts w:ascii="Arial" w:hAnsi="Arial"/>
                <w:sz w:val="18"/>
                <w:lang w:val="en-GB"/>
              </w:rPr>
              <w:t>EBITDA [€ million]</w:t>
            </w:r>
          </w:p>
        </w:tc>
        <w:tc>
          <w:tcPr>
            <w:tcW w:w="803" w:type="dxa"/>
            <w:noWrap/>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74.</w:t>
            </w:r>
            <w:r w:rsidR="003E21B1">
              <w:rPr>
                <w:rFonts w:ascii="Arial" w:hAnsi="Arial"/>
                <w:sz w:val="18"/>
                <w:szCs w:val="18"/>
              </w:rPr>
              <w:t>2</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84.</w:t>
            </w:r>
            <w:r w:rsidR="003E21B1">
              <w:rPr>
                <w:rFonts w:ascii="Arial" w:hAnsi="Arial"/>
                <w:sz w:val="18"/>
                <w:szCs w:val="18"/>
              </w:rPr>
              <w:t>7</w:t>
            </w:r>
          </w:p>
        </w:tc>
        <w:tc>
          <w:tcPr>
            <w:tcW w:w="804" w:type="dxa"/>
            <w:tcMar>
              <w:left w:w="28" w:type="dxa"/>
              <w:right w:w="28" w:type="dxa"/>
            </w:tcMar>
            <w:vAlign w:val="center"/>
          </w:tcPr>
          <w:p w:rsidR="003E21B1" w:rsidRPr="0068052B" w:rsidRDefault="008F41B4" w:rsidP="00C648B8">
            <w:pPr>
              <w:tabs>
                <w:tab w:val="left" w:pos="8505"/>
              </w:tabs>
              <w:spacing w:line="276" w:lineRule="auto"/>
              <w:jc w:val="center"/>
              <w:rPr>
                <w:rFonts w:ascii="Arial" w:hAnsi="Arial" w:cs="Arial"/>
                <w:sz w:val="18"/>
                <w:szCs w:val="18"/>
              </w:rPr>
            </w:pPr>
            <w:r>
              <w:rPr>
                <w:rFonts w:ascii="Arial" w:hAnsi="Arial"/>
                <w:sz w:val="18"/>
                <w:szCs w:val="18"/>
              </w:rPr>
              <w:t>-12.</w:t>
            </w:r>
            <w:r w:rsidR="003E21B1">
              <w:rPr>
                <w:rFonts w:ascii="Arial" w:hAnsi="Arial"/>
                <w:sz w:val="18"/>
                <w:szCs w:val="18"/>
              </w:rPr>
              <w:t>4 %</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135.</w:t>
            </w:r>
            <w:r w:rsidR="003E21B1">
              <w:rPr>
                <w:rFonts w:ascii="Arial" w:hAnsi="Arial"/>
                <w:sz w:val="18"/>
                <w:szCs w:val="18"/>
              </w:rPr>
              <w:t>5</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153.</w:t>
            </w:r>
            <w:r w:rsidR="003E21B1">
              <w:rPr>
                <w:rFonts w:ascii="Arial" w:hAnsi="Arial"/>
                <w:sz w:val="18"/>
                <w:szCs w:val="18"/>
              </w:rPr>
              <w:t>4</w:t>
            </w:r>
          </w:p>
        </w:tc>
        <w:tc>
          <w:tcPr>
            <w:tcW w:w="804"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-11.</w:t>
            </w:r>
            <w:r w:rsidR="003E21B1">
              <w:rPr>
                <w:rFonts w:ascii="Arial" w:hAnsi="Arial"/>
                <w:sz w:val="18"/>
                <w:szCs w:val="18"/>
              </w:rPr>
              <w:t>7 %</w:t>
            </w:r>
          </w:p>
        </w:tc>
      </w:tr>
      <w:tr w:rsidR="003E21B1" w:rsidRPr="0078384F" w:rsidTr="007B067E">
        <w:trPr>
          <w:trHeight w:val="284"/>
        </w:trPr>
        <w:tc>
          <w:tcPr>
            <w:tcW w:w="2948" w:type="dxa"/>
            <w:vAlign w:val="center"/>
          </w:tcPr>
          <w:p w:rsidR="003E21B1" w:rsidRPr="0078384F" w:rsidRDefault="003E21B1" w:rsidP="00433392">
            <w:pPr>
              <w:tabs>
                <w:tab w:val="left" w:pos="8505"/>
              </w:tabs>
              <w:rPr>
                <w:lang w:val="en-US"/>
              </w:rPr>
            </w:pPr>
            <w:r w:rsidRPr="0078384F">
              <w:rPr>
                <w:rFonts w:ascii="Arial" w:hAnsi="Arial"/>
                <w:sz w:val="18"/>
                <w:lang w:val="en-GB"/>
              </w:rPr>
              <w:t>EBIT [€ million]</w:t>
            </w:r>
          </w:p>
        </w:tc>
        <w:tc>
          <w:tcPr>
            <w:tcW w:w="803" w:type="dxa"/>
            <w:noWrap/>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37.</w:t>
            </w:r>
            <w:r w:rsidR="003E21B1">
              <w:rPr>
                <w:rFonts w:ascii="Arial" w:hAnsi="Arial"/>
                <w:sz w:val="18"/>
                <w:szCs w:val="18"/>
              </w:rPr>
              <w:t>6</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50.</w:t>
            </w:r>
            <w:r w:rsidR="003E21B1">
              <w:rPr>
                <w:rFonts w:ascii="Arial" w:hAnsi="Arial"/>
                <w:sz w:val="18"/>
                <w:szCs w:val="18"/>
              </w:rPr>
              <w:t>4</w:t>
            </w:r>
          </w:p>
        </w:tc>
        <w:tc>
          <w:tcPr>
            <w:tcW w:w="804" w:type="dxa"/>
            <w:tcMar>
              <w:left w:w="28" w:type="dxa"/>
              <w:right w:w="28" w:type="dxa"/>
            </w:tcMar>
            <w:vAlign w:val="center"/>
          </w:tcPr>
          <w:p w:rsidR="003E21B1" w:rsidRPr="0068052B" w:rsidRDefault="008F41B4" w:rsidP="00C648B8">
            <w:pPr>
              <w:tabs>
                <w:tab w:val="left" w:pos="8505"/>
              </w:tabs>
              <w:spacing w:line="276" w:lineRule="auto"/>
              <w:jc w:val="center"/>
              <w:rPr>
                <w:rFonts w:ascii="Arial" w:hAnsi="Arial" w:cs="Arial"/>
                <w:sz w:val="18"/>
                <w:szCs w:val="18"/>
              </w:rPr>
            </w:pPr>
            <w:r>
              <w:rPr>
                <w:rFonts w:ascii="Arial" w:hAnsi="Arial"/>
                <w:sz w:val="18"/>
                <w:szCs w:val="18"/>
              </w:rPr>
              <w:t>-25.</w:t>
            </w:r>
            <w:r w:rsidR="003E21B1">
              <w:rPr>
                <w:rFonts w:ascii="Arial" w:hAnsi="Arial"/>
                <w:sz w:val="18"/>
                <w:szCs w:val="18"/>
              </w:rPr>
              <w:t>4 %</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61.</w:t>
            </w:r>
            <w:r w:rsidR="003E21B1">
              <w:rPr>
                <w:rFonts w:ascii="Arial" w:hAnsi="Arial"/>
                <w:sz w:val="18"/>
                <w:szCs w:val="18"/>
              </w:rPr>
              <w:t>9</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85.</w:t>
            </w:r>
            <w:r w:rsidR="003E21B1">
              <w:rPr>
                <w:rFonts w:ascii="Arial" w:hAnsi="Arial"/>
                <w:sz w:val="18"/>
                <w:szCs w:val="18"/>
              </w:rPr>
              <w:t>5</w:t>
            </w:r>
          </w:p>
        </w:tc>
        <w:tc>
          <w:tcPr>
            <w:tcW w:w="804" w:type="dxa"/>
            <w:shd w:val="clear" w:color="auto" w:fill="auto"/>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-27.</w:t>
            </w:r>
            <w:r w:rsidR="003E21B1">
              <w:rPr>
                <w:rFonts w:ascii="Arial" w:hAnsi="Arial"/>
                <w:sz w:val="18"/>
                <w:szCs w:val="18"/>
              </w:rPr>
              <w:t>6 %</w:t>
            </w:r>
          </w:p>
        </w:tc>
      </w:tr>
      <w:tr w:rsidR="003E21B1" w:rsidRPr="0078384F" w:rsidTr="007B067E">
        <w:trPr>
          <w:trHeight w:val="284"/>
        </w:trPr>
        <w:tc>
          <w:tcPr>
            <w:tcW w:w="2948" w:type="dxa"/>
            <w:vAlign w:val="center"/>
          </w:tcPr>
          <w:p w:rsidR="003E21B1" w:rsidRPr="0078384F" w:rsidRDefault="003E21B1" w:rsidP="00404C26">
            <w:pPr>
              <w:tabs>
                <w:tab w:val="left" w:pos="8505"/>
              </w:tabs>
              <w:rPr>
                <w:lang w:val="en-US"/>
              </w:rPr>
            </w:pPr>
            <w:r w:rsidRPr="0078384F">
              <w:rPr>
                <w:rFonts w:ascii="Arial" w:hAnsi="Arial"/>
                <w:sz w:val="18"/>
                <w:lang w:val="en-GB"/>
              </w:rPr>
              <w:t>Adjusted EBIT * [€ million]</w:t>
            </w:r>
          </w:p>
        </w:tc>
        <w:tc>
          <w:tcPr>
            <w:tcW w:w="803" w:type="dxa"/>
            <w:noWrap/>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60.</w:t>
            </w:r>
            <w:r w:rsidR="003E21B1">
              <w:rPr>
                <w:rFonts w:ascii="Arial" w:hAnsi="Arial"/>
                <w:sz w:val="18"/>
                <w:szCs w:val="18"/>
              </w:rPr>
              <w:t>4</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54.</w:t>
            </w:r>
            <w:r w:rsidR="003E21B1">
              <w:rPr>
                <w:rFonts w:ascii="Arial" w:hAnsi="Arial"/>
                <w:sz w:val="18"/>
                <w:szCs w:val="18"/>
              </w:rPr>
              <w:t>6</w:t>
            </w:r>
          </w:p>
        </w:tc>
        <w:tc>
          <w:tcPr>
            <w:tcW w:w="804" w:type="dxa"/>
            <w:tcMar>
              <w:left w:w="28" w:type="dxa"/>
              <w:right w:w="28" w:type="dxa"/>
            </w:tcMar>
            <w:vAlign w:val="center"/>
          </w:tcPr>
          <w:p w:rsidR="003E21B1" w:rsidRPr="0068052B" w:rsidRDefault="008F41B4" w:rsidP="00C648B8">
            <w:pPr>
              <w:tabs>
                <w:tab w:val="left" w:pos="8505"/>
              </w:tabs>
              <w:spacing w:line="276" w:lineRule="auto"/>
              <w:jc w:val="center"/>
              <w:rPr>
                <w:rFonts w:ascii="Arial" w:hAnsi="Arial" w:cs="Arial"/>
                <w:sz w:val="18"/>
                <w:szCs w:val="18"/>
              </w:rPr>
            </w:pPr>
            <w:r>
              <w:rPr>
                <w:rFonts w:ascii="Arial" w:hAnsi="Arial"/>
                <w:sz w:val="18"/>
                <w:szCs w:val="18"/>
              </w:rPr>
              <w:t>10.</w:t>
            </w:r>
            <w:r w:rsidR="003E21B1">
              <w:rPr>
                <w:rFonts w:ascii="Arial" w:hAnsi="Arial"/>
                <w:sz w:val="18"/>
                <w:szCs w:val="18"/>
              </w:rPr>
              <w:t>6 %</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90.</w:t>
            </w:r>
            <w:r w:rsidR="003E21B1">
              <w:rPr>
                <w:rFonts w:ascii="Arial" w:hAnsi="Arial"/>
                <w:sz w:val="18"/>
                <w:szCs w:val="18"/>
              </w:rPr>
              <w:t>7</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92.</w:t>
            </w:r>
            <w:r w:rsidR="003E21B1">
              <w:rPr>
                <w:rFonts w:ascii="Arial" w:hAnsi="Arial"/>
                <w:sz w:val="18"/>
                <w:szCs w:val="18"/>
              </w:rPr>
              <w:t>5</w:t>
            </w:r>
          </w:p>
        </w:tc>
        <w:tc>
          <w:tcPr>
            <w:tcW w:w="804"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-1.</w:t>
            </w:r>
            <w:r w:rsidR="003E21B1">
              <w:rPr>
                <w:rFonts w:ascii="Arial" w:hAnsi="Arial"/>
                <w:sz w:val="18"/>
                <w:szCs w:val="18"/>
              </w:rPr>
              <w:t>9 %</w:t>
            </w:r>
          </w:p>
        </w:tc>
      </w:tr>
      <w:tr w:rsidR="003E21B1" w:rsidRPr="0078384F" w:rsidTr="007B067E">
        <w:trPr>
          <w:trHeight w:val="284"/>
        </w:trPr>
        <w:tc>
          <w:tcPr>
            <w:tcW w:w="2948" w:type="dxa"/>
            <w:vAlign w:val="center"/>
          </w:tcPr>
          <w:p w:rsidR="003E21B1" w:rsidRPr="0078384F" w:rsidRDefault="003E21B1" w:rsidP="00433392">
            <w:pPr>
              <w:tabs>
                <w:tab w:val="left" w:pos="8505"/>
              </w:tabs>
              <w:rPr>
                <w:lang w:val="en-US"/>
              </w:rPr>
            </w:pPr>
            <w:r w:rsidRPr="0078384F">
              <w:rPr>
                <w:rFonts w:ascii="Arial" w:hAnsi="Arial"/>
                <w:sz w:val="18"/>
                <w:lang w:val="en-GB"/>
              </w:rPr>
              <w:t>EBT [€ million]</w:t>
            </w:r>
          </w:p>
        </w:tc>
        <w:tc>
          <w:tcPr>
            <w:tcW w:w="803" w:type="dxa"/>
            <w:noWrap/>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32.</w:t>
            </w:r>
            <w:r w:rsidR="003E21B1">
              <w:rPr>
                <w:rFonts w:ascii="Arial" w:hAnsi="Arial"/>
                <w:sz w:val="18"/>
                <w:szCs w:val="18"/>
              </w:rPr>
              <w:t>0</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43.</w:t>
            </w:r>
            <w:r w:rsidR="003E21B1">
              <w:rPr>
                <w:rFonts w:ascii="Arial" w:hAnsi="Arial"/>
                <w:sz w:val="18"/>
                <w:szCs w:val="18"/>
              </w:rPr>
              <w:t>8</w:t>
            </w:r>
          </w:p>
        </w:tc>
        <w:tc>
          <w:tcPr>
            <w:tcW w:w="804" w:type="dxa"/>
            <w:tcMar>
              <w:left w:w="28" w:type="dxa"/>
              <w:right w:w="28" w:type="dxa"/>
            </w:tcMar>
            <w:vAlign w:val="center"/>
          </w:tcPr>
          <w:p w:rsidR="003E21B1" w:rsidRPr="0068052B" w:rsidRDefault="008F41B4" w:rsidP="00C648B8">
            <w:pPr>
              <w:tabs>
                <w:tab w:val="left" w:pos="8505"/>
              </w:tabs>
              <w:spacing w:line="276" w:lineRule="auto"/>
              <w:jc w:val="center"/>
              <w:rPr>
                <w:rFonts w:ascii="Arial" w:hAnsi="Arial" w:cs="Arial"/>
                <w:sz w:val="18"/>
                <w:szCs w:val="18"/>
              </w:rPr>
            </w:pPr>
            <w:r>
              <w:rPr>
                <w:rFonts w:ascii="Arial" w:hAnsi="Arial"/>
                <w:sz w:val="18"/>
                <w:szCs w:val="18"/>
              </w:rPr>
              <w:t>-26.</w:t>
            </w:r>
            <w:r w:rsidR="003E21B1">
              <w:rPr>
                <w:rFonts w:ascii="Arial" w:hAnsi="Arial"/>
                <w:sz w:val="18"/>
                <w:szCs w:val="18"/>
              </w:rPr>
              <w:t>9 %</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50.</w:t>
            </w:r>
            <w:r w:rsidR="003E21B1">
              <w:rPr>
                <w:rFonts w:ascii="Arial" w:hAnsi="Arial"/>
                <w:sz w:val="18"/>
                <w:szCs w:val="18"/>
              </w:rPr>
              <w:t>8</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71.</w:t>
            </w:r>
            <w:r w:rsidR="003E21B1">
              <w:rPr>
                <w:rFonts w:ascii="Arial" w:hAnsi="Arial"/>
                <w:sz w:val="18"/>
                <w:szCs w:val="18"/>
              </w:rPr>
              <w:t>6</w:t>
            </w:r>
          </w:p>
        </w:tc>
        <w:tc>
          <w:tcPr>
            <w:tcW w:w="804"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-29.</w:t>
            </w:r>
            <w:r w:rsidR="003E21B1">
              <w:rPr>
                <w:rFonts w:ascii="Arial" w:hAnsi="Arial"/>
                <w:sz w:val="18"/>
                <w:szCs w:val="18"/>
              </w:rPr>
              <w:t>0 %</w:t>
            </w:r>
          </w:p>
        </w:tc>
      </w:tr>
      <w:tr w:rsidR="003E21B1" w:rsidRPr="0078384F" w:rsidTr="007B067E">
        <w:trPr>
          <w:trHeight w:val="284"/>
        </w:trPr>
        <w:tc>
          <w:tcPr>
            <w:tcW w:w="2948" w:type="dxa"/>
            <w:vAlign w:val="center"/>
          </w:tcPr>
          <w:p w:rsidR="003E21B1" w:rsidRPr="0078384F" w:rsidRDefault="003E21B1" w:rsidP="00433392">
            <w:pPr>
              <w:tabs>
                <w:tab w:val="left" w:pos="8505"/>
              </w:tabs>
              <w:rPr>
                <w:lang w:val="en-US"/>
              </w:rPr>
            </w:pPr>
            <w:r w:rsidRPr="0078384F">
              <w:rPr>
                <w:rFonts w:ascii="Arial" w:hAnsi="Arial"/>
                <w:sz w:val="18"/>
                <w:lang w:val="en-GB"/>
              </w:rPr>
              <w:t>Consolidated net income [€ million]</w:t>
            </w:r>
          </w:p>
        </w:tc>
        <w:tc>
          <w:tcPr>
            <w:tcW w:w="803" w:type="dxa"/>
            <w:noWrap/>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24.</w:t>
            </w:r>
            <w:r w:rsidR="003E21B1">
              <w:rPr>
                <w:rFonts w:ascii="Arial" w:hAnsi="Arial"/>
                <w:sz w:val="18"/>
                <w:szCs w:val="18"/>
              </w:rPr>
              <w:t>3</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35.</w:t>
            </w:r>
            <w:r w:rsidR="003E21B1">
              <w:rPr>
                <w:rFonts w:ascii="Arial" w:hAnsi="Arial"/>
                <w:sz w:val="18"/>
                <w:szCs w:val="18"/>
              </w:rPr>
              <w:t>1</w:t>
            </w:r>
          </w:p>
        </w:tc>
        <w:tc>
          <w:tcPr>
            <w:tcW w:w="804"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-30.</w:t>
            </w:r>
            <w:r w:rsidR="003E21B1">
              <w:rPr>
                <w:rFonts w:ascii="Arial" w:hAnsi="Arial"/>
                <w:sz w:val="18"/>
                <w:szCs w:val="18"/>
              </w:rPr>
              <w:t>6 %</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35.</w:t>
            </w:r>
            <w:r w:rsidR="003E21B1">
              <w:rPr>
                <w:rFonts w:ascii="Arial" w:hAnsi="Arial"/>
                <w:sz w:val="18"/>
                <w:szCs w:val="18"/>
              </w:rPr>
              <w:t>9</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51.</w:t>
            </w:r>
            <w:r w:rsidR="003E21B1">
              <w:rPr>
                <w:rFonts w:ascii="Arial" w:hAnsi="Arial"/>
                <w:sz w:val="18"/>
                <w:szCs w:val="18"/>
              </w:rPr>
              <w:t>8</w:t>
            </w:r>
          </w:p>
        </w:tc>
        <w:tc>
          <w:tcPr>
            <w:tcW w:w="804"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-30.</w:t>
            </w:r>
            <w:r w:rsidR="003E21B1">
              <w:rPr>
                <w:rFonts w:ascii="Arial" w:hAnsi="Arial"/>
                <w:sz w:val="18"/>
                <w:szCs w:val="18"/>
              </w:rPr>
              <w:t>7 %</w:t>
            </w:r>
          </w:p>
        </w:tc>
      </w:tr>
      <w:tr w:rsidR="003E21B1" w:rsidRPr="0078384F" w:rsidTr="007B067E">
        <w:trPr>
          <w:trHeight w:val="284"/>
        </w:trPr>
        <w:tc>
          <w:tcPr>
            <w:tcW w:w="2948" w:type="dxa"/>
            <w:vAlign w:val="center"/>
          </w:tcPr>
          <w:p w:rsidR="003E21B1" w:rsidRPr="0078384F" w:rsidRDefault="003E21B1" w:rsidP="00433392">
            <w:pPr>
              <w:tabs>
                <w:tab w:val="left" w:pos="8505"/>
              </w:tabs>
              <w:rPr>
                <w:lang w:val="en-US"/>
              </w:rPr>
            </w:pPr>
            <w:r w:rsidRPr="0078384F">
              <w:rPr>
                <w:rFonts w:ascii="Arial" w:hAnsi="Arial"/>
                <w:sz w:val="18"/>
                <w:lang w:val="en-GB"/>
              </w:rPr>
              <w:t>Capex incl. acquisitions [€ million]</w:t>
            </w:r>
          </w:p>
        </w:tc>
        <w:tc>
          <w:tcPr>
            <w:tcW w:w="803" w:type="dxa"/>
            <w:noWrap/>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52.</w:t>
            </w:r>
            <w:r w:rsidR="003E21B1">
              <w:rPr>
                <w:rFonts w:ascii="Arial" w:hAnsi="Arial"/>
                <w:sz w:val="18"/>
                <w:szCs w:val="18"/>
              </w:rPr>
              <w:t>3</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60.</w:t>
            </w:r>
            <w:r w:rsidR="003E21B1">
              <w:rPr>
                <w:rFonts w:ascii="Arial" w:hAnsi="Arial"/>
                <w:sz w:val="18"/>
                <w:szCs w:val="18"/>
              </w:rPr>
              <w:t>6</w:t>
            </w:r>
          </w:p>
        </w:tc>
        <w:tc>
          <w:tcPr>
            <w:tcW w:w="804"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-13.</w:t>
            </w:r>
            <w:r w:rsidR="003E21B1">
              <w:rPr>
                <w:rFonts w:ascii="Arial" w:hAnsi="Arial"/>
                <w:sz w:val="18"/>
                <w:szCs w:val="18"/>
              </w:rPr>
              <w:t>7 %</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91.</w:t>
            </w:r>
            <w:r w:rsidR="003E21B1">
              <w:rPr>
                <w:rFonts w:ascii="Arial" w:hAnsi="Arial"/>
                <w:sz w:val="18"/>
                <w:szCs w:val="18"/>
              </w:rPr>
              <w:t>1</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98.</w:t>
            </w:r>
            <w:r w:rsidR="003E21B1">
              <w:rPr>
                <w:rFonts w:ascii="Arial" w:hAnsi="Arial"/>
                <w:sz w:val="18"/>
                <w:szCs w:val="18"/>
              </w:rPr>
              <w:t>7</w:t>
            </w:r>
          </w:p>
        </w:tc>
        <w:tc>
          <w:tcPr>
            <w:tcW w:w="804"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-7.</w:t>
            </w:r>
            <w:r w:rsidR="003E21B1">
              <w:rPr>
                <w:rFonts w:ascii="Arial" w:hAnsi="Arial"/>
                <w:sz w:val="18"/>
                <w:szCs w:val="18"/>
              </w:rPr>
              <w:t>7 %</w:t>
            </w:r>
          </w:p>
        </w:tc>
      </w:tr>
      <w:tr w:rsidR="003E21B1" w:rsidRPr="0078384F" w:rsidTr="007B067E">
        <w:trPr>
          <w:trHeight w:val="284"/>
        </w:trPr>
        <w:tc>
          <w:tcPr>
            <w:tcW w:w="2948" w:type="dxa"/>
            <w:vAlign w:val="center"/>
          </w:tcPr>
          <w:p w:rsidR="003E21B1" w:rsidRPr="0078384F" w:rsidRDefault="003E21B1" w:rsidP="00433392">
            <w:pPr>
              <w:tabs>
                <w:tab w:val="left" w:pos="8505"/>
              </w:tabs>
              <w:rPr>
                <w:rFonts w:ascii="Arial" w:hAnsi="Arial"/>
                <w:sz w:val="18"/>
                <w:lang w:val="en-GB"/>
              </w:rPr>
            </w:pPr>
            <w:r w:rsidRPr="0078384F">
              <w:rPr>
                <w:rFonts w:ascii="Arial" w:hAnsi="Arial"/>
                <w:sz w:val="18"/>
                <w:lang w:val="en-GB"/>
              </w:rPr>
              <w:t>Equity ratio [%]</w:t>
            </w:r>
          </w:p>
        </w:tc>
        <w:tc>
          <w:tcPr>
            <w:tcW w:w="803" w:type="dxa"/>
            <w:noWrap/>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32.</w:t>
            </w:r>
            <w:r w:rsidR="003E21B1">
              <w:rPr>
                <w:rFonts w:ascii="Arial" w:hAnsi="Arial"/>
                <w:sz w:val="18"/>
                <w:szCs w:val="18"/>
              </w:rPr>
              <w:t>5</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34.</w:t>
            </w:r>
            <w:r w:rsidR="003E21B1">
              <w:rPr>
                <w:rFonts w:ascii="Arial" w:hAnsi="Arial"/>
                <w:sz w:val="18"/>
                <w:szCs w:val="18"/>
              </w:rPr>
              <w:t>5</w:t>
            </w:r>
          </w:p>
        </w:tc>
        <w:tc>
          <w:tcPr>
            <w:tcW w:w="804" w:type="dxa"/>
            <w:tcMar>
              <w:left w:w="28" w:type="dxa"/>
              <w:right w:w="28" w:type="dxa"/>
            </w:tcMar>
            <w:vAlign w:val="center"/>
          </w:tcPr>
          <w:p w:rsidR="003E21B1" w:rsidRDefault="003E21B1" w:rsidP="00C648B8">
            <w:pPr>
              <w:tabs>
                <w:tab w:val="left" w:pos="8505"/>
              </w:tabs>
              <w:spacing w:line="276" w:lineRule="auto"/>
              <w:jc w:val="center"/>
              <w:rPr>
                <w:rFonts w:ascii="Arial" w:hAnsi="Arial" w:cs="Arial"/>
                <w:sz w:val="18"/>
                <w:szCs w:val="18"/>
              </w:rPr>
            </w:pPr>
            <w:r>
              <w:rPr>
                <w:rFonts w:ascii="Arial" w:hAnsi="Arial"/>
                <w:sz w:val="18"/>
                <w:szCs w:val="18"/>
              </w:rPr>
              <w:t>-</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32.</w:t>
            </w:r>
            <w:r w:rsidR="003E21B1">
              <w:rPr>
                <w:rFonts w:ascii="Arial" w:hAnsi="Arial"/>
                <w:sz w:val="18"/>
                <w:szCs w:val="18"/>
              </w:rPr>
              <w:t xml:space="preserve">5 </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34.</w:t>
            </w:r>
            <w:r w:rsidR="003E21B1">
              <w:rPr>
                <w:rFonts w:ascii="Arial" w:hAnsi="Arial"/>
                <w:sz w:val="18"/>
                <w:szCs w:val="18"/>
              </w:rPr>
              <w:t>5</w:t>
            </w:r>
          </w:p>
        </w:tc>
        <w:tc>
          <w:tcPr>
            <w:tcW w:w="804" w:type="dxa"/>
            <w:tcMar>
              <w:left w:w="28" w:type="dxa"/>
              <w:right w:w="28" w:type="dxa"/>
            </w:tcMar>
            <w:vAlign w:val="center"/>
          </w:tcPr>
          <w:p w:rsidR="003E21B1" w:rsidRDefault="003E21B1" w:rsidP="00C648B8">
            <w:pPr>
              <w:tabs>
                <w:tab w:val="left" w:pos="8505"/>
              </w:tabs>
              <w:spacing w:line="276" w:lineRule="auto"/>
              <w:jc w:val="center"/>
              <w:rPr>
                <w:rFonts w:ascii="Arial" w:hAnsi="Arial" w:cs="Arial"/>
                <w:sz w:val="18"/>
                <w:szCs w:val="18"/>
              </w:rPr>
            </w:pPr>
            <w:r>
              <w:rPr>
                <w:rFonts w:ascii="Arial" w:hAnsi="Arial"/>
                <w:sz w:val="18"/>
                <w:szCs w:val="18"/>
              </w:rPr>
              <w:t>-</w:t>
            </w:r>
          </w:p>
        </w:tc>
      </w:tr>
      <w:tr w:rsidR="003E21B1" w:rsidRPr="0078384F" w:rsidTr="007B067E">
        <w:trPr>
          <w:trHeight w:val="284"/>
        </w:trPr>
        <w:tc>
          <w:tcPr>
            <w:tcW w:w="2948" w:type="dxa"/>
            <w:vAlign w:val="center"/>
          </w:tcPr>
          <w:p w:rsidR="003E21B1" w:rsidRPr="0078384F" w:rsidRDefault="003E21B1" w:rsidP="00433392">
            <w:pPr>
              <w:tabs>
                <w:tab w:val="left" w:pos="8505"/>
              </w:tabs>
              <w:rPr>
                <w:lang w:val="en-US"/>
              </w:rPr>
            </w:pPr>
            <w:r w:rsidRPr="0078384F">
              <w:rPr>
                <w:rFonts w:ascii="Arial" w:hAnsi="Arial"/>
                <w:sz w:val="18"/>
                <w:lang w:val="en-GB"/>
              </w:rPr>
              <w:t>Earnings per share [€]</w:t>
            </w:r>
          </w:p>
        </w:tc>
        <w:tc>
          <w:tcPr>
            <w:tcW w:w="803" w:type="dxa"/>
            <w:noWrap/>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0.</w:t>
            </w:r>
            <w:r w:rsidR="003E21B1">
              <w:rPr>
                <w:rFonts w:ascii="Arial" w:hAnsi="Arial"/>
                <w:sz w:val="18"/>
                <w:szCs w:val="18"/>
              </w:rPr>
              <w:t>75</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1.</w:t>
            </w:r>
            <w:r w:rsidR="003E21B1">
              <w:rPr>
                <w:rFonts w:ascii="Arial" w:hAnsi="Arial"/>
                <w:sz w:val="18"/>
                <w:szCs w:val="18"/>
              </w:rPr>
              <w:t>07</w:t>
            </w:r>
          </w:p>
        </w:tc>
        <w:tc>
          <w:tcPr>
            <w:tcW w:w="804"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-29.</w:t>
            </w:r>
            <w:r w:rsidR="003E21B1">
              <w:rPr>
                <w:rFonts w:ascii="Arial" w:hAnsi="Arial"/>
                <w:sz w:val="18"/>
                <w:szCs w:val="18"/>
              </w:rPr>
              <w:t>9 %</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1.</w:t>
            </w:r>
            <w:r w:rsidR="003E21B1">
              <w:rPr>
                <w:rFonts w:ascii="Arial" w:hAnsi="Arial"/>
                <w:sz w:val="18"/>
                <w:szCs w:val="18"/>
              </w:rPr>
              <w:t>10</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1.</w:t>
            </w:r>
            <w:r w:rsidR="003E21B1">
              <w:rPr>
                <w:rFonts w:ascii="Arial" w:hAnsi="Arial"/>
                <w:sz w:val="18"/>
                <w:szCs w:val="18"/>
              </w:rPr>
              <w:t>58</w:t>
            </w:r>
          </w:p>
        </w:tc>
        <w:tc>
          <w:tcPr>
            <w:tcW w:w="804"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-30.</w:t>
            </w:r>
            <w:bookmarkStart w:id="0" w:name="_GoBack"/>
            <w:bookmarkEnd w:id="0"/>
            <w:r w:rsidR="003E21B1">
              <w:rPr>
                <w:rFonts w:ascii="Arial" w:hAnsi="Arial"/>
                <w:sz w:val="18"/>
                <w:szCs w:val="18"/>
              </w:rPr>
              <w:t>4 %</w:t>
            </w:r>
          </w:p>
        </w:tc>
      </w:tr>
      <w:tr w:rsidR="003E21B1" w:rsidRPr="0078384F" w:rsidTr="007B067E">
        <w:trPr>
          <w:trHeight w:val="284"/>
        </w:trPr>
        <w:tc>
          <w:tcPr>
            <w:tcW w:w="2948" w:type="dxa"/>
            <w:vAlign w:val="center"/>
          </w:tcPr>
          <w:p w:rsidR="003E21B1" w:rsidRPr="0078384F" w:rsidRDefault="003E21B1" w:rsidP="00B84EE5">
            <w:pPr>
              <w:tabs>
                <w:tab w:val="left" w:pos="8505"/>
              </w:tabs>
              <w:rPr>
                <w:lang w:val="en-US"/>
              </w:rPr>
            </w:pPr>
            <w:r w:rsidRPr="0078384F">
              <w:rPr>
                <w:rFonts w:ascii="Arial" w:hAnsi="Arial"/>
                <w:sz w:val="18"/>
                <w:lang w:val="en-GB"/>
              </w:rPr>
              <w:t>Employees [as at 30 June]</w:t>
            </w:r>
          </w:p>
        </w:tc>
        <w:tc>
          <w:tcPr>
            <w:tcW w:w="803" w:type="dxa"/>
            <w:noWrap/>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76,</w:t>
            </w:r>
            <w:r w:rsidR="003E21B1">
              <w:rPr>
                <w:rFonts w:ascii="Arial" w:hAnsi="Arial"/>
                <w:sz w:val="18"/>
                <w:szCs w:val="18"/>
              </w:rPr>
              <w:t>239</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71,</w:t>
            </w:r>
            <w:r w:rsidR="003E21B1">
              <w:rPr>
                <w:rFonts w:ascii="Arial" w:hAnsi="Arial"/>
                <w:sz w:val="18"/>
                <w:szCs w:val="18"/>
              </w:rPr>
              <w:t>987</w:t>
            </w:r>
          </w:p>
        </w:tc>
        <w:tc>
          <w:tcPr>
            <w:tcW w:w="804"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5.</w:t>
            </w:r>
            <w:r w:rsidR="003E21B1">
              <w:rPr>
                <w:rFonts w:ascii="Arial" w:hAnsi="Arial"/>
                <w:sz w:val="18"/>
                <w:szCs w:val="18"/>
              </w:rPr>
              <w:t>9 %</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76,</w:t>
            </w:r>
            <w:r w:rsidR="003E21B1">
              <w:rPr>
                <w:rFonts w:ascii="Arial" w:hAnsi="Arial"/>
                <w:sz w:val="18"/>
                <w:szCs w:val="18"/>
              </w:rPr>
              <w:t>239</w:t>
            </w:r>
          </w:p>
        </w:tc>
        <w:tc>
          <w:tcPr>
            <w:tcW w:w="803"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71,</w:t>
            </w:r>
            <w:r w:rsidR="003E21B1">
              <w:rPr>
                <w:rFonts w:ascii="Arial" w:hAnsi="Arial"/>
                <w:sz w:val="18"/>
                <w:szCs w:val="18"/>
              </w:rPr>
              <w:t>987</w:t>
            </w:r>
          </w:p>
        </w:tc>
        <w:tc>
          <w:tcPr>
            <w:tcW w:w="804" w:type="dxa"/>
            <w:tcMar>
              <w:left w:w="28" w:type="dxa"/>
              <w:right w:w="28" w:type="dxa"/>
            </w:tcMar>
            <w:vAlign w:val="center"/>
          </w:tcPr>
          <w:p w:rsidR="003E21B1" w:rsidRDefault="008F41B4" w:rsidP="00C648B8">
            <w:pPr>
              <w:tabs>
                <w:tab w:val="left" w:pos="8505"/>
              </w:tabs>
              <w:spacing w:line="276" w:lineRule="auto"/>
              <w:jc w:val="center"/>
              <w:rPr>
                <w:rFonts w:ascii="Arial" w:hAnsi="Arial" w:cs="Arial"/>
                <w:sz w:val="18"/>
                <w:szCs w:val="18"/>
              </w:rPr>
            </w:pPr>
            <w:r>
              <w:rPr>
                <w:rFonts w:ascii="Arial" w:hAnsi="Arial"/>
                <w:sz w:val="18"/>
                <w:szCs w:val="18"/>
              </w:rPr>
              <w:t>5.</w:t>
            </w:r>
            <w:r w:rsidR="003E21B1">
              <w:rPr>
                <w:rFonts w:ascii="Arial" w:hAnsi="Arial"/>
                <w:sz w:val="18"/>
                <w:szCs w:val="18"/>
              </w:rPr>
              <w:t>9 %</w:t>
            </w:r>
          </w:p>
        </w:tc>
      </w:tr>
    </w:tbl>
    <w:p w:rsidR="00F86DEB" w:rsidRPr="00B84EE5" w:rsidRDefault="00F86DEB" w:rsidP="00744F2F">
      <w:pPr>
        <w:ind w:right="1922"/>
        <w:rPr>
          <w:rFonts w:ascii="Arial" w:hAnsi="Arial" w:cs="Arial"/>
          <w:i/>
          <w:sz w:val="16"/>
          <w:szCs w:val="16"/>
          <w:lang w:val="en-GB"/>
        </w:rPr>
      </w:pPr>
    </w:p>
    <w:p w:rsidR="00B84EE5" w:rsidRPr="007F08F8" w:rsidRDefault="00B84EE5" w:rsidP="00B84EE5">
      <w:pPr>
        <w:autoSpaceDE w:val="0"/>
        <w:autoSpaceDN w:val="0"/>
        <w:adjustRightInd w:val="0"/>
        <w:ind w:right="1852"/>
        <w:rPr>
          <w:rFonts w:ascii="Arial" w:hAnsi="Arial"/>
          <w:lang w:val="en-US"/>
        </w:rPr>
      </w:pPr>
      <w:r w:rsidRPr="008D4891">
        <w:rPr>
          <w:rFonts w:ascii="Arial" w:hAnsi="Arial"/>
          <w:i/>
          <w:sz w:val="16"/>
          <w:lang w:val="en-GB"/>
        </w:rPr>
        <w:t>* Earnings adjusted for the impact of revaluation as part of allocating th</w:t>
      </w:r>
      <w:r w:rsidR="00787B3E">
        <w:rPr>
          <w:rFonts w:ascii="Arial" w:hAnsi="Arial"/>
          <w:i/>
          <w:sz w:val="16"/>
          <w:lang w:val="en-GB"/>
        </w:rPr>
        <w:t>e prices of major acquisitions, r</w:t>
      </w:r>
      <w:r w:rsidRPr="008D4891">
        <w:rPr>
          <w:rFonts w:ascii="Arial" w:hAnsi="Arial"/>
          <w:i/>
          <w:sz w:val="16"/>
          <w:lang w:val="en-GB"/>
        </w:rPr>
        <w:t xml:space="preserve">estructuring, </w:t>
      </w:r>
      <w:proofErr w:type="gramStart"/>
      <w:r w:rsidRPr="008D4891">
        <w:rPr>
          <w:rFonts w:ascii="Arial" w:hAnsi="Arial"/>
          <w:i/>
          <w:sz w:val="16"/>
          <w:lang w:val="en-GB"/>
        </w:rPr>
        <w:t>impairment</w:t>
      </w:r>
      <w:proofErr w:type="gramEnd"/>
      <w:r w:rsidRPr="008D4891">
        <w:rPr>
          <w:rFonts w:ascii="Arial" w:hAnsi="Arial"/>
          <w:i/>
          <w:sz w:val="16"/>
          <w:lang w:val="en-GB"/>
        </w:rPr>
        <w:t xml:space="preserve"> of non-current assets, gains on business disposals and </w:t>
      </w:r>
      <w:r>
        <w:rPr>
          <w:rFonts w:ascii="Arial" w:hAnsi="Arial"/>
          <w:i/>
          <w:sz w:val="16"/>
          <w:lang w:val="en-GB"/>
        </w:rPr>
        <w:t xml:space="preserve">on business </w:t>
      </w:r>
      <w:r w:rsidRPr="008D4891">
        <w:rPr>
          <w:rFonts w:ascii="Arial" w:hAnsi="Arial"/>
          <w:i/>
          <w:sz w:val="16"/>
          <w:lang w:val="en-GB"/>
        </w:rPr>
        <w:t>combinations including related derivatives</w:t>
      </w:r>
      <w:r>
        <w:rPr>
          <w:rFonts w:ascii="Arial" w:hAnsi="Arial"/>
          <w:i/>
          <w:sz w:val="16"/>
          <w:lang w:val="en-US"/>
        </w:rPr>
        <w:t>.</w:t>
      </w:r>
    </w:p>
    <w:p w:rsidR="00B84EE5" w:rsidRPr="00D6203C" w:rsidRDefault="00B84EE5" w:rsidP="00B84EE5">
      <w:pPr>
        <w:spacing w:before="240"/>
        <w:ind w:right="1854"/>
        <w:rPr>
          <w:rFonts w:ascii="Arial" w:hAnsi="Arial"/>
          <w:i/>
          <w:sz w:val="22"/>
          <w:szCs w:val="22"/>
          <w:lang w:val="en-GB"/>
        </w:rPr>
      </w:pPr>
      <w:r w:rsidRPr="00C85271">
        <w:rPr>
          <w:rFonts w:ascii="Arial" w:hAnsi="Arial"/>
          <w:sz w:val="36"/>
          <w:szCs w:val="36"/>
          <w:lang w:val="en-GB"/>
        </w:rPr>
        <w:lastRenderedPageBreak/>
        <w:sym w:font="Wingdings" w:char="F046"/>
      </w:r>
      <w:r w:rsidRPr="00C85271">
        <w:rPr>
          <w:rFonts w:ascii="Arial" w:hAnsi="Arial"/>
          <w:i/>
          <w:sz w:val="20"/>
          <w:lang w:val="en-GB"/>
        </w:rPr>
        <w:t xml:space="preserve"> </w:t>
      </w:r>
      <w:r w:rsidRPr="00D6203C">
        <w:rPr>
          <w:rFonts w:ascii="Arial" w:hAnsi="Arial"/>
          <w:i/>
          <w:sz w:val="22"/>
          <w:szCs w:val="22"/>
          <w:lang w:val="en-GB"/>
        </w:rPr>
        <w:t xml:space="preserve">Related illustration material can be downloaded </w:t>
      </w:r>
      <w:r w:rsidR="00404C26" w:rsidRPr="00D6203C">
        <w:rPr>
          <w:rFonts w:ascii="Arial" w:hAnsi="Arial"/>
          <w:i/>
          <w:sz w:val="22"/>
          <w:szCs w:val="22"/>
          <w:lang w:val="en-GB"/>
        </w:rPr>
        <w:t>next to this release at</w:t>
      </w:r>
      <w:r w:rsidRPr="00D6203C">
        <w:rPr>
          <w:rFonts w:ascii="Arial" w:hAnsi="Arial"/>
          <w:i/>
          <w:sz w:val="22"/>
          <w:szCs w:val="22"/>
          <w:lang w:val="en-GB"/>
        </w:rPr>
        <w:t xml:space="preserve"> </w:t>
      </w:r>
      <w:hyperlink r:id="rId9" w:history="1">
        <w:r w:rsidR="006D1387" w:rsidRPr="00CD7B3A">
          <w:rPr>
            <w:rStyle w:val="Hyperlink"/>
            <w:rFonts w:ascii="Arial" w:hAnsi="Arial"/>
            <w:i/>
            <w:sz w:val="22"/>
            <w:szCs w:val="22"/>
            <w:lang w:val="en-GB"/>
          </w:rPr>
          <w:t>www.leoni.com/en/press/releases/details/leoni-on-target-after-the-1st-half-of-2016/</w:t>
        </w:r>
      </w:hyperlink>
      <w:r w:rsidRPr="00C85271">
        <w:rPr>
          <w:rFonts w:ascii="Arial" w:hAnsi="Arial"/>
          <w:i/>
          <w:sz w:val="21"/>
          <w:lang w:val="en-GB"/>
        </w:rPr>
        <w:t xml:space="preserve"> </w:t>
      </w:r>
      <w:r>
        <w:rPr>
          <w:rFonts w:ascii="Arial" w:hAnsi="Arial"/>
          <w:i/>
          <w:sz w:val="21"/>
          <w:lang w:val="en-GB"/>
        </w:rPr>
        <w:br/>
      </w:r>
      <w:r w:rsidRPr="002C049D">
        <w:rPr>
          <w:rFonts w:ascii="Arial" w:hAnsi="Arial"/>
          <w:sz w:val="36"/>
          <w:szCs w:val="36"/>
          <w:lang w:val="en-GB"/>
        </w:rPr>
        <w:sym w:font="Wingdings" w:char="F046"/>
      </w:r>
      <w:r w:rsidRPr="002C049D">
        <w:rPr>
          <w:rFonts w:ascii="Arial" w:hAnsi="Arial"/>
          <w:i/>
          <w:sz w:val="20"/>
          <w:lang w:val="en-GB"/>
        </w:rPr>
        <w:t xml:space="preserve"> </w:t>
      </w:r>
      <w:proofErr w:type="gramStart"/>
      <w:r w:rsidRPr="00D6203C">
        <w:rPr>
          <w:rFonts w:ascii="Arial" w:hAnsi="Arial"/>
          <w:i/>
          <w:sz w:val="22"/>
          <w:szCs w:val="22"/>
          <w:lang w:val="en-GB"/>
        </w:rPr>
        <w:t>The</w:t>
      </w:r>
      <w:proofErr w:type="gramEnd"/>
      <w:r w:rsidRPr="00D6203C">
        <w:rPr>
          <w:rFonts w:ascii="Arial" w:hAnsi="Arial"/>
          <w:i/>
          <w:sz w:val="22"/>
          <w:szCs w:val="22"/>
          <w:lang w:val="en-GB"/>
        </w:rPr>
        <w:t xml:space="preserve"> complete quarterly report can be found at </w:t>
      </w:r>
      <w:r w:rsidR="00327D2D" w:rsidRPr="00D6203C">
        <w:rPr>
          <w:rFonts w:ascii="Arial" w:hAnsi="Arial"/>
          <w:i/>
          <w:sz w:val="22"/>
          <w:szCs w:val="22"/>
          <w:lang w:val="en-GB"/>
        </w:rPr>
        <w:br/>
      </w:r>
      <w:hyperlink r:id="rId10" w:history="1">
        <w:r w:rsidR="00404C26" w:rsidRPr="00D6203C">
          <w:rPr>
            <w:rStyle w:val="Hyperlink"/>
            <w:rFonts w:ascii="Arial" w:hAnsi="Arial"/>
            <w:i/>
            <w:sz w:val="22"/>
            <w:szCs w:val="22"/>
            <w:lang w:val="en-GB"/>
          </w:rPr>
          <w:t>www.leoni.com/en/financial-publications/</w:t>
        </w:r>
      </w:hyperlink>
    </w:p>
    <w:p w:rsidR="00F76833" w:rsidRPr="00C85271" w:rsidRDefault="00F76833" w:rsidP="0019023D">
      <w:pPr>
        <w:pStyle w:val="MMKurzprofilberschrift"/>
        <w:rPr>
          <w:lang w:val="en-GB"/>
        </w:rPr>
      </w:pPr>
      <w:r w:rsidRPr="00C85271">
        <w:rPr>
          <w:lang w:val="en-GB"/>
        </w:rPr>
        <w:t>About the Leoni Group</w:t>
      </w:r>
    </w:p>
    <w:p w:rsidR="00F76833" w:rsidRDefault="00F76833" w:rsidP="005712FF">
      <w:pPr>
        <w:pStyle w:val="MMKurzprofil"/>
        <w:spacing w:after="120"/>
        <w:ind w:right="1922"/>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744F2F">
        <w:rPr>
          <w:lang w:val="en-GB"/>
        </w:rPr>
        <w:t xml:space="preserve">about </w:t>
      </w:r>
      <w:r w:rsidR="003E21B1">
        <w:rPr>
          <w:lang w:val="en-GB"/>
        </w:rPr>
        <w:t>76</w:t>
      </w:r>
      <w:r w:rsidRPr="00C85271">
        <w:rPr>
          <w:lang w:val="en-GB"/>
        </w:rPr>
        <w:t>,000 people in 3</w:t>
      </w:r>
      <w:r w:rsidR="003E21B1">
        <w:rPr>
          <w:lang w:val="en-GB"/>
        </w:rPr>
        <w:t>2</w:t>
      </w:r>
      <w:r w:rsidRPr="00C85271">
        <w:rPr>
          <w:lang w:val="en-GB"/>
        </w:rPr>
        <w:t xml:space="preserve"> countries </w:t>
      </w:r>
      <w:r w:rsidR="006C41D1" w:rsidRPr="00C85271">
        <w:rPr>
          <w:lang w:val="en-GB"/>
        </w:rPr>
        <w:t xml:space="preserve">and generated consolidated sales of </w:t>
      </w:r>
      <w:r w:rsidR="006C41D1" w:rsidRPr="00B572CD">
        <w:rPr>
          <w:lang w:val="en-US"/>
        </w:rPr>
        <w:t xml:space="preserve">EUR </w:t>
      </w:r>
      <w:r w:rsidR="003E21B1">
        <w:rPr>
          <w:lang w:val="en-US"/>
        </w:rPr>
        <w:t>4.5</w:t>
      </w:r>
      <w:r w:rsidR="006C41D1" w:rsidRPr="00B572CD">
        <w:rPr>
          <w:lang w:val="en-US"/>
        </w:rPr>
        <w:t xml:space="preserve"> billion in 201</w:t>
      </w:r>
      <w:r w:rsidR="003E21B1">
        <w:rPr>
          <w:lang w:val="en-US"/>
        </w:rPr>
        <w:t>5</w:t>
      </w:r>
      <w:r>
        <w:rPr>
          <w:lang w:val="en-US"/>
        </w:rPr>
        <w:t>.</w:t>
      </w:r>
    </w:p>
    <w:p w:rsidR="00B351E3" w:rsidRPr="00541D3C" w:rsidRDefault="00366FE5" w:rsidP="00744F2F">
      <w:pPr>
        <w:pStyle w:val="MMKurzprofil"/>
        <w:rPr>
          <w:lang w:val="en-US"/>
        </w:rPr>
      </w:pPr>
      <w:r>
        <w:rPr>
          <w:noProof/>
          <w:snapToGrid/>
          <w:lang w:eastAsia="de-DE"/>
        </w:rPr>
        <w:drawing>
          <wp:inline distT="0" distB="0" distL="0" distR="0">
            <wp:extent cx="180975" cy="180975"/>
            <wp:effectExtent l="0" t="0" r="9525" b="9525"/>
            <wp:docPr id="6" name="Bild 1">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B351E3" w:rsidRPr="00541D3C">
        <w:rPr>
          <w:noProof/>
          <w:lang w:val="en-US"/>
        </w:rPr>
        <w:t xml:space="preserve"> </w:t>
      </w:r>
      <w:r>
        <w:rPr>
          <w:noProof/>
          <w:snapToGrid/>
          <w:lang w:eastAsia="de-DE"/>
        </w:rPr>
        <w:drawing>
          <wp:inline distT="0" distB="0" distL="0" distR="0">
            <wp:extent cx="180975" cy="180975"/>
            <wp:effectExtent l="0" t="0" r="9525" b="9525"/>
            <wp:docPr id="5" name="Bild 2">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B351E3" w:rsidRPr="00541D3C" w:rsidRDefault="00B351E3" w:rsidP="0019023D">
      <w:pPr>
        <w:pStyle w:val="MMKurzprofilberschrift"/>
        <w:rPr>
          <w:lang w:val="en-US"/>
        </w:rPr>
        <w:sectPr w:rsidR="00B351E3" w:rsidRPr="00541D3C">
          <w:headerReference w:type="default" r:id="rId15"/>
          <w:footerReference w:type="default" r:id="rId16"/>
          <w:headerReference w:type="first" r:id="rId17"/>
          <w:footerReference w:type="first" r:id="rId18"/>
          <w:pgSz w:w="11900" w:h="16840" w:code="9"/>
          <w:pgMar w:top="2977" w:right="833" w:bottom="1701" w:left="1418" w:header="0" w:footer="742" w:gutter="0"/>
          <w:cols w:space="708"/>
        </w:sectPr>
      </w:pPr>
    </w:p>
    <w:p w:rsidR="00744F2F" w:rsidRPr="00C85271" w:rsidRDefault="00744F2F" w:rsidP="0019023D">
      <w:pPr>
        <w:pStyle w:val="MMKurzprofilberschrift"/>
        <w:rPr>
          <w:lang w:val="en-GB"/>
        </w:rPr>
      </w:pPr>
      <w:r w:rsidRPr="00C85271">
        <w:rPr>
          <w:lang w:val="en-GB"/>
        </w:rPr>
        <w:lastRenderedPageBreak/>
        <w:t>Contact person for journalists</w:t>
      </w:r>
    </w:p>
    <w:p w:rsidR="00744F2F" w:rsidRPr="00B8341D" w:rsidRDefault="003E21B1" w:rsidP="00744F2F">
      <w:pPr>
        <w:pStyle w:val="MMKurzprofil"/>
        <w:rPr>
          <w:rFonts w:cs="Times New Roman"/>
          <w:szCs w:val="24"/>
          <w:lang w:val="en-US"/>
        </w:rPr>
      </w:pPr>
      <w:proofErr w:type="spellStart"/>
      <w:r w:rsidRPr="00B8341D">
        <w:rPr>
          <w:rFonts w:cs="Times New Roman"/>
          <w:szCs w:val="24"/>
          <w:lang w:val="en-US"/>
        </w:rPr>
        <w:t>Dr</w:t>
      </w:r>
      <w:proofErr w:type="spellEnd"/>
      <w:r w:rsidRPr="00B8341D">
        <w:rPr>
          <w:rFonts w:cs="Times New Roman"/>
          <w:szCs w:val="24"/>
          <w:lang w:val="en-US"/>
        </w:rPr>
        <w:t xml:space="preserve"> Bernd Buhmann</w:t>
      </w:r>
    </w:p>
    <w:p w:rsidR="003E21B1" w:rsidRPr="00B8341D" w:rsidRDefault="00744F2F" w:rsidP="00744F2F">
      <w:pPr>
        <w:pStyle w:val="MMKurzprofil"/>
        <w:rPr>
          <w:rFonts w:cs="Times New Roman"/>
          <w:szCs w:val="24"/>
          <w:lang w:val="en-US"/>
        </w:rPr>
      </w:pPr>
      <w:r w:rsidRPr="00B8341D">
        <w:rPr>
          <w:rFonts w:cs="Times New Roman"/>
          <w:szCs w:val="24"/>
          <w:lang w:val="en-US"/>
        </w:rPr>
        <w:t>Cor</w:t>
      </w:r>
      <w:r w:rsidR="003E21B1" w:rsidRPr="00B8341D">
        <w:rPr>
          <w:rFonts w:cs="Times New Roman"/>
          <w:szCs w:val="24"/>
          <w:lang w:val="en-US"/>
        </w:rPr>
        <w:t>porate Communications &amp; Marketing</w:t>
      </w:r>
    </w:p>
    <w:p w:rsidR="00744F2F" w:rsidRPr="00B8341D" w:rsidRDefault="00744F2F" w:rsidP="00744F2F">
      <w:pPr>
        <w:pStyle w:val="MMKurzprofil"/>
        <w:rPr>
          <w:rFonts w:cs="Times New Roman"/>
          <w:szCs w:val="24"/>
          <w:lang w:val="en-US"/>
        </w:rPr>
      </w:pPr>
      <w:r w:rsidRPr="00B8341D">
        <w:rPr>
          <w:rFonts w:cs="Times New Roman"/>
          <w:szCs w:val="24"/>
          <w:lang w:val="en-US"/>
        </w:rPr>
        <w:t>LEONI AG</w:t>
      </w:r>
    </w:p>
    <w:p w:rsidR="00744F2F" w:rsidRPr="00C85271" w:rsidRDefault="003E21B1" w:rsidP="00744F2F">
      <w:pPr>
        <w:pStyle w:val="MMKurzprofil"/>
        <w:tabs>
          <w:tab w:val="clear" w:pos="8505"/>
        </w:tabs>
        <w:rPr>
          <w:rFonts w:cs="Times New Roman"/>
          <w:szCs w:val="24"/>
          <w:lang w:val="en-GB"/>
        </w:rPr>
      </w:pPr>
      <w:r>
        <w:rPr>
          <w:rFonts w:cs="Times New Roman"/>
          <w:szCs w:val="24"/>
          <w:lang w:val="en-GB"/>
        </w:rPr>
        <w:t>Phone</w:t>
      </w:r>
      <w:r>
        <w:rPr>
          <w:rFonts w:cs="Times New Roman"/>
          <w:szCs w:val="24"/>
          <w:lang w:val="en-GB"/>
        </w:rPr>
        <w:tab/>
        <w:t>+49 (0)911-2023-323</w:t>
      </w:r>
    </w:p>
    <w:p w:rsidR="00744F2F" w:rsidRPr="00C85271" w:rsidRDefault="00744F2F" w:rsidP="00744F2F">
      <w:pPr>
        <w:pStyle w:val="MMKurzprofil"/>
        <w:tabs>
          <w:tab w:val="clear" w:pos="8505"/>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744F2F" w:rsidRPr="00744F2F" w:rsidRDefault="00744F2F" w:rsidP="00744F2F">
      <w:pPr>
        <w:pStyle w:val="MMKurzprofil"/>
        <w:tabs>
          <w:tab w:val="clear" w:pos="8505"/>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9" w:history="1">
        <w:r w:rsidRPr="00C85271">
          <w:rPr>
            <w:rStyle w:val="Hyperlink"/>
            <w:rFonts w:cs="Times New Roman"/>
            <w:szCs w:val="24"/>
            <w:lang w:val="en-GB"/>
          </w:rPr>
          <w:t>presse@leoni.com</w:t>
        </w:r>
      </w:hyperlink>
    </w:p>
    <w:sectPr w:rsidR="00744F2F" w:rsidRPr="00744F2F" w:rsidSect="00744F2F">
      <w:headerReference w:type="default" r:id="rId20"/>
      <w:footerReference w:type="default" r:id="rId21"/>
      <w:headerReference w:type="first" r:id="rId22"/>
      <w:footerReference w:type="first" r:id="rId23"/>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99" w:rsidRDefault="00C52799">
      <w:pPr>
        <w:rPr>
          <w:sz w:val="16"/>
        </w:rPr>
      </w:pPr>
      <w:r>
        <w:separator/>
      </w:r>
    </w:p>
  </w:endnote>
  <w:endnote w:type="continuationSeparator" w:id="0">
    <w:p w:rsidR="00C52799" w:rsidRDefault="00C52799">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A933FB">
      <w:rPr>
        <w:rStyle w:val="Seitenzahl"/>
        <w:rFonts w:ascii="Arial" w:hAnsi="Arial"/>
        <w:i/>
        <w:noProof/>
        <w:sz w:val="16"/>
      </w:rPr>
      <w:t>3</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A933FB">
      <w:rPr>
        <w:rStyle w:val="Seitenzahl"/>
        <w:rFonts w:ascii="Arial" w:hAnsi="Arial"/>
        <w:i/>
        <w:noProof/>
        <w:sz w:val="16"/>
      </w:rPr>
      <w:t>4</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351E3" w:rsidRDefault="00B351E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351E3" w:rsidRDefault="00B351E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3E21B1">
      <w:rPr>
        <w:rStyle w:val="Seitenzahl"/>
        <w:rFonts w:ascii="Arial" w:hAnsi="Arial"/>
        <w:i/>
        <w:noProof/>
        <w:sz w:val="16"/>
      </w:rPr>
      <w:t>5</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A933FB">
      <w:rPr>
        <w:rStyle w:val="Seitenzahl"/>
        <w:rFonts w:ascii="Arial" w:hAnsi="Arial"/>
        <w:i/>
        <w:noProof/>
        <w:sz w:val="16"/>
      </w:rPr>
      <w:t>4</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99" w:rsidRDefault="00C52799">
      <w:pPr>
        <w:rPr>
          <w:sz w:val="16"/>
        </w:rPr>
      </w:pPr>
      <w:r>
        <w:separator/>
      </w:r>
    </w:p>
  </w:footnote>
  <w:footnote w:type="continuationSeparator" w:id="0">
    <w:p w:rsidR="00C52799" w:rsidRDefault="00C52799">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366FE5">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spacing w:before="60" w:line="360" w:lineRule="auto"/>
      <w:ind w:right="1429"/>
      <w:rPr>
        <w:rFonts w:ascii="Arial" w:hAnsi="Arial"/>
        <w:b/>
        <w:sz w:val="20"/>
      </w:rPr>
    </w:pPr>
  </w:p>
  <w:p w:rsidR="00B351E3" w:rsidRDefault="002744E1"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366FE5">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A933FB" w:rsidP="00F65C50">
    <w:pPr>
      <w:pStyle w:val="Kopfzeile"/>
      <w:tabs>
        <w:tab w:val="clear" w:pos="9072"/>
        <w:tab w:val="right" w:pos="9639"/>
      </w:tabs>
      <w:rPr>
        <w:rFonts w:ascii="Verdana" w:hAnsi="Verdana"/>
        <w:sz w:val="20"/>
      </w:rPr>
    </w:pPr>
  </w:p>
  <w:p w:rsidR="008F37D5" w:rsidRDefault="00A933FB" w:rsidP="00F65C50">
    <w:pPr>
      <w:pStyle w:val="Kopfzeile"/>
      <w:tabs>
        <w:tab w:val="clear" w:pos="9072"/>
        <w:tab w:val="right" w:pos="9639"/>
      </w:tabs>
      <w:rPr>
        <w:rFonts w:ascii="Verdana" w:hAnsi="Verdana"/>
        <w:sz w:val="20"/>
      </w:rPr>
    </w:pPr>
  </w:p>
  <w:p w:rsidR="008F37D5" w:rsidRPr="00F17738" w:rsidRDefault="00366FE5" w:rsidP="00F65C50">
    <w:pPr>
      <w:pStyle w:val="Kopfzeile"/>
      <w:tabs>
        <w:tab w:val="clear" w:pos="9072"/>
        <w:tab w:val="right" w:pos="9639"/>
      </w:tabs>
      <w:rPr>
        <w:rFonts w:ascii="Verdana" w:hAnsi="Verdana"/>
        <w:sz w:val="20"/>
      </w:rPr>
    </w:pPr>
    <w:r>
      <w:rPr>
        <w:noProof/>
        <w:snapToGrid/>
        <w:szCs w:val="20"/>
        <w:lang w:eastAsia="de-DE"/>
      </w:rPr>
      <w:drawing>
        <wp:anchor distT="0" distB="0" distL="114300" distR="114300" simplePos="0" relativeHeight="251661312"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4" name="Bild 4"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F37D5" w:rsidRDefault="00A933FB"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A933FB">
    <w:pPr>
      <w:pStyle w:val="Kopfzeile"/>
      <w:tabs>
        <w:tab w:val="clear" w:pos="9072"/>
        <w:tab w:val="right" w:pos="9639"/>
      </w:tabs>
      <w:rPr>
        <w:rFonts w:ascii="Verdana" w:hAnsi="Verdana"/>
        <w:sz w:val="20"/>
      </w:rPr>
    </w:pPr>
  </w:p>
  <w:p w:rsidR="008F37D5" w:rsidRDefault="00A933FB">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A933FB">
    <w:pPr>
      <w:pStyle w:val="Kopfzeile"/>
      <w:ind w:right="12"/>
      <w:rPr>
        <w:rFonts w:ascii="Verdana" w:hAnsi="Verdana"/>
        <w:sz w:val="20"/>
      </w:rPr>
    </w:pPr>
  </w:p>
  <w:p w:rsidR="008F37D5" w:rsidRDefault="00A933FB">
    <w:pPr>
      <w:pStyle w:val="Kopfzeile"/>
      <w:ind w:right="12"/>
      <w:rPr>
        <w:rFonts w:ascii="Verdana" w:hAnsi="Verdana"/>
        <w:sz w:val="20"/>
      </w:rPr>
    </w:pPr>
  </w:p>
  <w:p w:rsidR="008F37D5" w:rsidRDefault="00A933FB">
    <w:pPr>
      <w:pStyle w:val="Kopfzeile"/>
      <w:ind w:right="12"/>
      <w:rPr>
        <w:rFonts w:ascii="Verdana" w:hAnsi="Verdana"/>
        <w:sz w:val="20"/>
      </w:rPr>
    </w:pPr>
  </w:p>
  <w:p w:rsidR="008F37D5" w:rsidRDefault="00A933FB">
    <w:pPr>
      <w:pStyle w:val="Kopfzeile"/>
      <w:ind w:right="12"/>
      <w:rPr>
        <w:rFonts w:ascii="Verdana" w:hAnsi="Verdana"/>
        <w:sz w:val="20"/>
      </w:rPr>
    </w:pPr>
  </w:p>
  <w:p w:rsidR="008F37D5" w:rsidRDefault="00366FE5">
    <w:pPr>
      <w:pStyle w:val="Kopfzeile"/>
      <w:ind w:right="12"/>
      <w:rPr>
        <w:rFonts w:ascii="Verdana" w:hAnsi="Verdana"/>
        <w:sz w:val="20"/>
      </w:rPr>
    </w:pPr>
    <w:r>
      <w:rPr>
        <w:rFonts w:ascii="Calibri" w:hAnsi="Calibri"/>
        <w:noProof/>
        <w:snapToGrid/>
        <w:sz w:val="22"/>
        <w:lang w:eastAsia="de-DE"/>
      </w:rPr>
      <w:drawing>
        <wp:anchor distT="0" distB="0" distL="114300" distR="114300" simplePos="0" relativeHeight="251660288"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F37D5" w:rsidRDefault="00A933FB">
    <w:pPr>
      <w:pStyle w:val="Kopfzeile"/>
      <w:ind w:right="12"/>
      <w:rPr>
        <w:rFonts w:ascii="Verdana" w:hAnsi="Verdana"/>
        <w:sz w:val="20"/>
      </w:rPr>
    </w:pPr>
  </w:p>
  <w:p w:rsidR="008F37D5" w:rsidRDefault="00A933FB">
    <w:pPr>
      <w:pStyle w:val="Kopfzeile"/>
      <w:ind w:right="12"/>
      <w:rPr>
        <w:rFonts w:ascii="Verdana" w:hAnsi="Verdana"/>
        <w:sz w:val="20"/>
      </w:rPr>
    </w:pPr>
  </w:p>
  <w:p w:rsidR="008F37D5" w:rsidRDefault="00A933FB">
    <w:pPr>
      <w:pStyle w:val="Kopfzeile"/>
      <w:ind w:right="12"/>
      <w:rPr>
        <w:rFonts w:ascii="Verdana" w:hAnsi="Verdana"/>
        <w:sz w:val="20"/>
      </w:rPr>
    </w:pPr>
  </w:p>
  <w:p w:rsidR="008F37D5" w:rsidRDefault="00A933FB">
    <w:pPr>
      <w:pStyle w:val="Kopfzeile"/>
      <w:ind w:right="12"/>
      <w:rPr>
        <w:rFonts w:ascii="Verdana" w:hAnsi="Verdana"/>
        <w:sz w:val="20"/>
      </w:rPr>
    </w:pPr>
  </w:p>
  <w:p w:rsidR="008F37D5" w:rsidRDefault="00A933FB">
    <w:pPr>
      <w:pStyle w:val="Kopfzeile"/>
      <w:ind w:right="12"/>
      <w:rPr>
        <w:rFonts w:ascii="Verdana" w:hAnsi="Verdana"/>
        <w:sz w:val="20"/>
      </w:rPr>
    </w:pPr>
  </w:p>
  <w:p w:rsidR="008F37D5" w:rsidRDefault="00A933FB">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33345"/>
    <w:rsid w:val="000453F9"/>
    <w:rsid w:val="00083B36"/>
    <w:rsid w:val="000A0822"/>
    <w:rsid w:val="000A1974"/>
    <w:rsid w:val="000A32BC"/>
    <w:rsid w:val="000A7B89"/>
    <w:rsid w:val="000B3BF8"/>
    <w:rsid w:val="000B470A"/>
    <w:rsid w:val="000B5865"/>
    <w:rsid w:val="000C02B1"/>
    <w:rsid w:val="000D1D02"/>
    <w:rsid w:val="000D2329"/>
    <w:rsid w:val="000D65E4"/>
    <w:rsid w:val="000D7D1F"/>
    <w:rsid w:val="000E49EE"/>
    <w:rsid w:val="000E4FB5"/>
    <w:rsid w:val="000E537E"/>
    <w:rsid w:val="000E6946"/>
    <w:rsid w:val="000F2DC6"/>
    <w:rsid w:val="00102158"/>
    <w:rsid w:val="00110484"/>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9023D"/>
    <w:rsid w:val="001A26F1"/>
    <w:rsid w:val="001A759B"/>
    <w:rsid w:val="001B61BA"/>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744E1"/>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27D2D"/>
    <w:rsid w:val="00361CF2"/>
    <w:rsid w:val="00362050"/>
    <w:rsid w:val="003627B5"/>
    <w:rsid w:val="00364DCD"/>
    <w:rsid w:val="00366FE5"/>
    <w:rsid w:val="00382198"/>
    <w:rsid w:val="00397A3F"/>
    <w:rsid w:val="00397AC4"/>
    <w:rsid w:val="003C6AAE"/>
    <w:rsid w:val="003D2799"/>
    <w:rsid w:val="003E21B1"/>
    <w:rsid w:val="003E43B4"/>
    <w:rsid w:val="003E4B96"/>
    <w:rsid w:val="003F74D0"/>
    <w:rsid w:val="00404468"/>
    <w:rsid w:val="00404C26"/>
    <w:rsid w:val="00432245"/>
    <w:rsid w:val="00441012"/>
    <w:rsid w:val="00441963"/>
    <w:rsid w:val="004442C8"/>
    <w:rsid w:val="0045071B"/>
    <w:rsid w:val="004547BF"/>
    <w:rsid w:val="00473340"/>
    <w:rsid w:val="00473E7D"/>
    <w:rsid w:val="004826F0"/>
    <w:rsid w:val="0048460D"/>
    <w:rsid w:val="004A0C6E"/>
    <w:rsid w:val="004A1653"/>
    <w:rsid w:val="004A457B"/>
    <w:rsid w:val="004B0623"/>
    <w:rsid w:val="004B3DB8"/>
    <w:rsid w:val="004B4CC2"/>
    <w:rsid w:val="004D2FCB"/>
    <w:rsid w:val="004D6F84"/>
    <w:rsid w:val="004D7625"/>
    <w:rsid w:val="004E00F1"/>
    <w:rsid w:val="004E29FC"/>
    <w:rsid w:val="004F038C"/>
    <w:rsid w:val="004F2266"/>
    <w:rsid w:val="004F7079"/>
    <w:rsid w:val="00500004"/>
    <w:rsid w:val="00500B29"/>
    <w:rsid w:val="005071D3"/>
    <w:rsid w:val="005072AE"/>
    <w:rsid w:val="00516303"/>
    <w:rsid w:val="00520D08"/>
    <w:rsid w:val="00526F46"/>
    <w:rsid w:val="0053287E"/>
    <w:rsid w:val="00533F65"/>
    <w:rsid w:val="005346BE"/>
    <w:rsid w:val="005408F2"/>
    <w:rsid w:val="00541D3C"/>
    <w:rsid w:val="00543110"/>
    <w:rsid w:val="00543C34"/>
    <w:rsid w:val="005448AB"/>
    <w:rsid w:val="00547D6D"/>
    <w:rsid w:val="005712FF"/>
    <w:rsid w:val="005A1926"/>
    <w:rsid w:val="005A7481"/>
    <w:rsid w:val="005B37C7"/>
    <w:rsid w:val="005B4DC3"/>
    <w:rsid w:val="005B51E8"/>
    <w:rsid w:val="005B69D8"/>
    <w:rsid w:val="005C1DA5"/>
    <w:rsid w:val="005C5351"/>
    <w:rsid w:val="005D4C87"/>
    <w:rsid w:val="005D550E"/>
    <w:rsid w:val="005E0BBB"/>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57E1"/>
    <w:rsid w:val="006A76CA"/>
    <w:rsid w:val="006C41D1"/>
    <w:rsid w:val="006C508C"/>
    <w:rsid w:val="006C5546"/>
    <w:rsid w:val="006C6A78"/>
    <w:rsid w:val="006D0A31"/>
    <w:rsid w:val="006D1387"/>
    <w:rsid w:val="006D36F9"/>
    <w:rsid w:val="006E0029"/>
    <w:rsid w:val="006F0BE8"/>
    <w:rsid w:val="006F435B"/>
    <w:rsid w:val="006F4393"/>
    <w:rsid w:val="006F78FE"/>
    <w:rsid w:val="00705A1C"/>
    <w:rsid w:val="00720539"/>
    <w:rsid w:val="00721853"/>
    <w:rsid w:val="007256EE"/>
    <w:rsid w:val="007370EE"/>
    <w:rsid w:val="007420F8"/>
    <w:rsid w:val="00744F2F"/>
    <w:rsid w:val="00746469"/>
    <w:rsid w:val="00763E80"/>
    <w:rsid w:val="00765E37"/>
    <w:rsid w:val="00772C01"/>
    <w:rsid w:val="007747B6"/>
    <w:rsid w:val="0078384F"/>
    <w:rsid w:val="00783A5E"/>
    <w:rsid w:val="007864F1"/>
    <w:rsid w:val="00786FF2"/>
    <w:rsid w:val="00787B3E"/>
    <w:rsid w:val="00791E09"/>
    <w:rsid w:val="007B067E"/>
    <w:rsid w:val="007C3759"/>
    <w:rsid w:val="007C6329"/>
    <w:rsid w:val="007D37B7"/>
    <w:rsid w:val="007D7D60"/>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F04A4"/>
    <w:rsid w:val="008F124A"/>
    <w:rsid w:val="008F41B4"/>
    <w:rsid w:val="008F5F48"/>
    <w:rsid w:val="008F70BC"/>
    <w:rsid w:val="00906898"/>
    <w:rsid w:val="00911BD3"/>
    <w:rsid w:val="00933949"/>
    <w:rsid w:val="00936962"/>
    <w:rsid w:val="00936B3F"/>
    <w:rsid w:val="009613DC"/>
    <w:rsid w:val="00961415"/>
    <w:rsid w:val="00965F20"/>
    <w:rsid w:val="00967E91"/>
    <w:rsid w:val="009714B0"/>
    <w:rsid w:val="00977A5F"/>
    <w:rsid w:val="00977A87"/>
    <w:rsid w:val="00996168"/>
    <w:rsid w:val="00996A04"/>
    <w:rsid w:val="009A05EE"/>
    <w:rsid w:val="009A1070"/>
    <w:rsid w:val="009B48FF"/>
    <w:rsid w:val="009B564D"/>
    <w:rsid w:val="009C0937"/>
    <w:rsid w:val="009C6B13"/>
    <w:rsid w:val="009E1E09"/>
    <w:rsid w:val="009F6805"/>
    <w:rsid w:val="009F752B"/>
    <w:rsid w:val="00A12538"/>
    <w:rsid w:val="00A23768"/>
    <w:rsid w:val="00A27173"/>
    <w:rsid w:val="00A2750A"/>
    <w:rsid w:val="00A34AA7"/>
    <w:rsid w:val="00A37C17"/>
    <w:rsid w:val="00A54DDA"/>
    <w:rsid w:val="00A66992"/>
    <w:rsid w:val="00A708D7"/>
    <w:rsid w:val="00A76205"/>
    <w:rsid w:val="00A76415"/>
    <w:rsid w:val="00A864E9"/>
    <w:rsid w:val="00A933FB"/>
    <w:rsid w:val="00AA09F4"/>
    <w:rsid w:val="00AA2A8D"/>
    <w:rsid w:val="00AC2AE0"/>
    <w:rsid w:val="00AC7A23"/>
    <w:rsid w:val="00AD3E26"/>
    <w:rsid w:val="00AE1133"/>
    <w:rsid w:val="00AE43B7"/>
    <w:rsid w:val="00AF0A61"/>
    <w:rsid w:val="00AF1B7B"/>
    <w:rsid w:val="00B05F61"/>
    <w:rsid w:val="00B10383"/>
    <w:rsid w:val="00B1340F"/>
    <w:rsid w:val="00B139E4"/>
    <w:rsid w:val="00B351E3"/>
    <w:rsid w:val="00B3540F"/>
    <w:rsid w:val="00B45E40"/>
    <w:rsid w:val="00B461BD"/>
    <w:rsid w:val="00B466F2"/>
    <w:rsid w:val="00B65C34"/>
    <w:rsid w:val="00B6724A"/>
    <w:rsid w:val="00B67561"/>
    <w:rsid w:val="00B70B1A"/>
    <w:rsid w:val="00B71C6F"/>
    <w:rsid w:val="00B8341D"/>
    <w:rsid w:val="00B84EE5"/>
    <w:rsid w:val="00B91F37"/>
    <w:rsid w:val="00B96DE2"/>
    <w:rsid w:val="00BA0052"/>
    <w:rsid w:val="00BB1A73"/>
    <w:rsid w:val="00BB2564"/>
    <w:rsid w:val="00BC5FE7"/>
    <w:rsid w:val="00BC7AFF"/>
    <w:rsid w:val="00BD22AC"/>
    <w:rsid w:val="00BD2643"/>
    <w:rsid w:val="00BD4058"/>
    <w:rsid w:val="00BE1369"/>
    <w:rsid w:val="00BF0085"/>
    <w:rsid w:val="00BF28B6"/>
    <w:rsid w:val="00BF5681"/>
    <w:rsid w:val="00BF64D2"/>
    <w:rsid w:val="00BF7DEC"/>
    <w:rsid w:val="00C03D20"/>
    <w:rsid w:val="00C0468A"/>
    <w:rsid w:val="00C108BC"/>
    <w:rsid w:val="00C11645"/>
    <w:rsid w:val="00C12270"/>
    <w:rsid w:val="00C1516A"/>
    <w:rsid w:val="00C251FA"/>
    <w:rsid w:val="00C30C32"/>
    <w:rsid w:val="00C4636C"/>
    <w:rsid w:val="00C52799"/>
    <w:rsid w:val="00C563D7"/>
    <w:rsid w:val="00C63B60"/>
    <w:rsid w:val="00C6770A"/>
    <w:rsid w:val="00C70F49"/>
    <w:rsid w:val="00C7427E"/>
    <w:rsid w:val="00C900A9"/>
    <w:rsid w:val="00C96EBA"/>
    <w:rsid w:val="00CA481B"/>
    <w:rsid w:val="00CA4B57"/>
    <w:rsid w:val="00CB2F17"/>
    <w:rsid w:val="00CD7A5E"/>
    <w:rsid w:val="00CE572C"/>
    <w:rsid w:val="00D04407"/>
    <w:rsid w:val="00D112C0"/>
    <w:rsid w:val="00D1225B"/>
    <w:rsid w:val="00D15735"/>
    <w:rsid w:val="00D22ED7"/>
    <w:rsid w:val="00D2511A"/>
    <w:rsid w:val="00D413F1"/>
    <w:rsid w:val="00D47FA5"/>
    <w:rsid w:val="00D6203C"/>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87B66"/>
    <w:rsid w:val="00E910E5"/>
    <w:rsid w:val="00E93051"/>
    <w:rsid w:val="00E956C2"/>
    <w:rsid w:val="00E95777"/>
    <w:rsid w:val="00EC0A0C"/>
    <w:rsid w:val="00EC0E74"/>
    <w:rsid w:val="00EC6520"/>
    <w:rsid w:val="00ED1040"/>
    <w:rsid w:val="00ED47BD"/>
    <w:rsid w:val="00EE3329"/>
    <w:rsid w:val="00EE5BD1"/>
    <w:rsid w:val="00F21EA0"/>
    <w:rsid w:val="00F37865"/>
    <w:rsid w:val="00F46AC0"/>
    <w:rsid w:val="00F57A78"/>
    <w:rsid w:val="00F67138"/>
    <w:rsid w:val="00F737A1"/>
    <w:rsid w:val="00F73C92"/>
    <w:rsid w:val="00F76833"/>
    <w:rsid w:val="00F77BB5"/>
    <w:rsid w:val="00F80249"/>
    <w:rsid w:val="00F86DEB"/>
    <w:rsid w:val="00F90257"/>
    <w:rsid w:val="00F91FB0"/>
    <w:rsid w:val="00F955C9"/>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744F2F"/>
    <w:pPr>
      <w:tabs>
        <w:tab w:val="left" w:pos="851"/>
        <w:tab w:val="left" w:pos="8505"/>
      </w:tabs>
      <w:ind w:right="501"/>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19023D"/>
    <w:pPr>
      <w:tabs>
        <w:tab w:val="left" w:pos="0"/>
      </w:tabs>
      <w:spacing w:before="480" w:line="360" w:lineRule="auto"/>
      <w:ind w:right="74"/>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744F2F"/>
    <w:pPr>
      <w:tabs>
        <w:tab w:val="left" w:pos="851"/>
        <w:tab w:val="left" w:pos="8505"/>
      </w:tabs>
      <w:ind w:right="501"/>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19023D"/>
    <w:pPr>
      <w:tabs>
        <w:tab w:val="left" w:pos="0"/>
      </w:tabs>
      <w:spacing w:before="480" w:line="360" w:lineRule="auto"/>
      <w:ind w:right="74"/>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xing.com/companies/leonia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pages/LEONI-Group-official-profile/19314662739175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www.leoni.com/en/financial-publications/" TargetMode="External"/><Relationship Id="rId19" Type="http://schemas.openxmlformats.org/officeDocument/2006/relationships/hyperlink" Target="mailto:presse@leoni.com" TargetMode="External"/><Relationship Id="rId4" Type="http://schemas.microsoft.com/office/2007/relationships/stylesWithEffects" Target="stylesWithEffects.xml"/><Relationship Id="rId9" Type="http://schemas.openxmlformats.org/officeDocument/2006/relationships/hyperlink" Target="http://www.leoni.com/en/press/releases/details/leoni-on-target-after-the-1st-half-of-2016/" TargetMode="External"/><Relationship Id="rId14" Type="http://schemas.openxmlformats.org/officeDocument/2006/relationships/image" Target="media/image2.pn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3AE4-7553-46F8-883B-2F7735CA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6159</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Relations Press Release</vt:lpstr>
      <vt:lpstr>Media Relations Medienmitteilungen</vt:lpstr>
    </vt:vector>
  </TitlesOfParts>
  <Manager>Sven Schmidt</Manager>
  <Company>LEONI</Company>
  <LinksUpToDate>false</LinksUpToDate>
  <CharactersWithSpaces>7255</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Press Release</dc:title>
  <dc:creator>Corporate Communications</dc:creator>
  <cp:lastModifiedBy>Wittmann, Ina</cp:lastModifiedBy>
  <cp:revision>2</cp:revision>
  <cp:lastPrinted>2016-08-10T05:48:00Z</cp:lastPrinted>
  <dcterms:created xsi:type="dcterms:W3CDTF">2016-08-10T05:50:00Z</dcterms:created>
  <dcterms:modified xsi:type="dcterms:W3CDTF">2016-08-10T05:50:00Z</dcterms:modified>
</cp:coreProperties>
</file>