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05" w:rsidRPr="00441012" w:rsidRDefault="001D4108" w:rsidP="00A92505">
      <w:pPr>
        <w:pStyle w:val="MMU1"/>
      </w:pPr>
      <w:r w:rsidRPr="001D4108">
        <w:t>Leoni sieht positiven Trend für künftige Geschäftsentwicklung</w:t>
      </w:r>
      <w:r>
        <w:t xml:space="preserve"> </w:t>
      </w:r>
      <w:r w:rsidR="00710F2A">
        <w:t xml:space="preserve"> </w:t>
      </w:r>
      <w:r w:rsidR="00A92505">
        <w:t xml:space="preserve"> </w:t>
      </w:r>
    </w:p>
    <w:p w:rsidR="00A92505" w:rsidRPr="006F0BE8" w:rsidRDefault="00710F2A" w:rsidP="00A92505">
      <w:pPr>
        <w:pStyle w:val="MMU2"/>
      </w:pPr>
      <w:r>
        <w:t xml:space="preserve">Prognose 2017 mit deutlichen Zuwächsen bei Umsatz und Ergebnis – operative Ziele </w:t>
      </w:r>
      <w:r w:rsidR="00A801EA">
        <w:t>im Jahr 2016 erfüllt</w:t>
      </w:r>
    </w:p>
    <w:p w:rsidR="00A92505" w:rsidRPr="006D36F9" w:rsidRDefault="00A92505" w:rsidP="00A92505">
      <w:pPr>
        <w:pStyle w:val="MMVorspann"/>
      </w:pPr>
      <w:r>
        <w:t>Nürnberg, 23. März</w:t>
      </w:r>
      <w:r w:rsidRPr="009A1070">
        <w:t xml:space="preserve"> 20</w:t>
      </w:r>
      <w:r>
        <w:t>1</w:t>
      </w:r>
      <w:r w:rsidR="00710F2A">
        <w:t>7</w:t>
      </w:r>
      <w:r w:rsidRPr="009A1070">
        <w:t xml:space="preserve"> – </w:t>
      </w:r>
      <w:r>
        <w:t xml:space="preserve">Leoni, der </w:t>
      </w:r>
      <w:r w:rsidRPr="0099285A">
        <w:t xml:space="preserve">führende </w:t>
      </w:r>
      <w:r>
        <w:t xml:space="preserve">europäische 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w:t>
      </w:r>
      <w:r w:rsidR="00B001B6">
        <w:t xml:space="preserve">hat seine operativen Ziele 2016 erfüllt und schätzt die </w:t>
      </w:r>
      <w:r w:rsidR="008E101F">
        <w:t xml:space="preserve">mittelfristige </w:t>
      </w:r>
      <w:r w:rsidR="00B001B6">
        <w:t xml:space="preserve">Entwicklung </w:t>
      </w:r>
      <w:r w:rsidR="004F244E">
        <w:t xml:space="preserve">der eigenen Geschäftsaktivitäten </w:t>
      </w:r>
      <w:r w:rsidR="00B001B6">
        <w:t xml:space="preserve">positiv ein. Der Umsatz des Berichtsjahres liegt mit 4,43 Mrd. Euro (2015: 4,50 Mrd. Euro) leicht über </w:t>
      </w:r>
      <w:r w:rsidR="00BE195E">
        <w:t xml:space="preserve">dem erwarteten Niveau </w:t>
      </w:r>
      <w:r w:rsidR="00667A44">
        <w:t>von 4,4 Mrd. Euro</w:t>
      </w:r>
      <w:r w:rsidR="00B001B6">
        <w:t xml:space="preserve">. Beiden Divisionen gelang ein organisches Wachstum </w:t>
      </w:r>
      <w:r w:rsidR="004F244E">
        <w:t xml:space="preserve">von mehr als </w:t>
      </w:r>
      <w:r w:rsidR="00B001B6">
        <w:t xml:space="preserve">3 Prozent. </w:t>
      </w:r>
      <w:r w:rsidR="008E101F">
        <w:t xml:space="preserve">Negative Effekte aus Kupferpreis- und Wechselkursveränderungen führten jedoch per </w:t>
      </w:r>
      <w:proofErr w:type="spellStart"/>
      <w:r w:rsidR="008E101F">
        <w:t>saldo</w:t>
      </w:r>
      <w:proofErr w:type="spellEnd"/>
      <w:r w:rsidR="008E101F">
        <w:t xml:space="preserve"> zu einem leichten Umsatzr</w:t>
      </w:r>
      <w:r w:rsidR="00B001B6">
        <w:t>ückgang</w:t>
      </w:r>
      <w:r w:rsidR="008E101F">
        <w:t xml:space="preserve">. Beim </w:t>
      </w:r>
      <w:r>
        <w:t xml:space="preserve">Ergebnis vor Zinsen und Steuern (EBIT) </w:t>
      </w:r>
      <w:r w:rsidR="008E101F">
        <w:t>konnte Leoni mit 78,1 Mio. Euro</w:t>
      </w:r>
      <w:r w:rsidR="00667A44">
        <w:t xml:space="preserve"> (2015: 151,3 Mio. Euro)</w:t>
      </w:r>
      <w:r w:rsidR="008E101F">
        <w:t xml:space="preserve"> d</w:t>
      </w:r>
      <w:r w:rsidR="00BE195E">
        <w:t xml:space="preserve">ie Prognose </w:t>
      </w:r>
      <w:r w:rsidR="008E101F">
        <w:t xml:space="preserve">von 65 Mio. Euro übertreffen. </w:t>
      </w:r>
      <w:r w:rsidR="0066292E">
        <w:t>D</w:t>
      </w:r>
      <w:r w:rsidR="00747BA4">
        <w:t xml:space="preserve">er erreichte Wert </w:t>
      </w:r>
      <w:r w:rsidR="0066292E">
        <w:t xml:space="preserve">ist </w:t>
      </w:r>
      <w:r w:rsidR="00667A44">
        <w:t>st</w:t>
      </w:r>
      <w:r w:rsidR="00747BA4">
        <w:t>a</w:t>
      </w:r>
      <w:r w:rsidR="00667A44">
        <w:t xml:space="preserve">rk von Sondereinflüssen geprägt, </w:t>
      </w:r>
      <w:r w:rsidR="00747BA4">
        <w:t xml:space="preserve">insbesondere Restrukturierungsaufwendungen von 31,4 Mio. Euro sowie </w:t>
      </w:r>
      <w:r w:rsidR="00747BA4" w:rsidRPr="004331B8">
        <w:t>Belastungen aus dem Betrugsfall von c</w:t>
      </w:r>
      <w:r w:rsidR="00747BA4">
        <w:t>a.</w:t>
      </w:r>
      <w:r w:rsidR="00747BA4" w:rsidRPr="004331B8">
        <w:t xml:space="preserve"> 40 Mio.</w:t>
      </w:r>
      <w:r w:rsidR="00747BA4">
        <w:t xml:space="preserve"> Euro. Auf bereinigter Basis hat sich das EBIT um rund 12 Prozent auf 160,2 Mio. Euro (2015: </w:t>
      </w:r>
      <w:r w:rsidR="000D12FB">
        <w:t xml:space="preserve">143,6 Mio. Euro) </w:t>
      </w:r>
      <w:r w:rsidR="00747BA4">
        <w:t xml:space="preserve">verbessert. </w:t>
      </w:r>
      <w:r w:rsidR="00B82B8E">
        <w:t xml:space="preserve">Unter dem Strich verblieben </w:t>
      </w:r>
      <w:r w:rsidR="000D12FB">
        <w:t xml:space="preserve">10,5 Mio. Euro nach </w:t>
      </w:r>
      <w:r>
        <w:t xml:space="preserve">77,3 Mio. Euro </w:t>
      </w:r>
      <w:r w:rsidR="000D12FB">
        <w:t xml:space="preserve">im Jahr 2015. </w:t>
      </w:r>
      <w:r w:rsidR="00CC3F86">
        <w:t xml:space="preserve">Mit der vorgeschlagenen </w:t>
      </w:r>
      <w:r w:rsidR="0066292E">
        <w:t>Dividenden</w:t>
      </w:r>
      <w:r w:rsidR="00CC3F86">
        <w:t>a</w:t>
      </w:r>
      <w:r w:rsidR="0066292E">
        <w:t xml:space="preserve">usschüttung von 0,50 Euro pro Aktie </w:t>
      </w:r>
      <w:r w:rsidR="00E36F08">
        <w:t>weicht das Unternehmen von seiner Ausschüttungspolitik ab und bringt somit</w:t>
      </w:r>
      <w:r w:rsidR="0019085A">
        <w:t xml:space="preserve"> seine Zuversicht </w:t>
      </w:r>
      <w:r w:rsidR="0019085A" w:rsidRPr="002E5449">
        <w:rPr>
          <w:rFonts w:eastAsia="Calibri"/>
        </w:rPr>
        <w:t>zum Ausdruck</w:t>
      </w:r>
      <w:r w:rsidR="0019085A">
        <w:rPr>
          <w:rFonts w:eastAsia="Calibri"/>
        </w:rPr>
        <w:t xml:space="preserve">, dass sich der Konzern </w:t>
      </w:r>
      <w:r w:rsidR="0019085A" w:rsidRPr="002E5449">
        <w:rPr>
          <w:rFonts w:eastAsia="Calibri"/>
        </w:rPr>
        <w:t>in den nächsten Jahren erfolgreich</w:t>
      </w:r>
      <w:r w:rsidR="0019085A">
        <w:rPr>
          <w:rFonts w:eastAsia="Calibri"/>
        </w:rPr>
        <w:t xml:space="preserve"> </w:t>
      </w:r>
      <w:r w:rsidR="0019085A" w:rsidRPr="002E5449">
        <w:rPr>
          <w:rFonts w:eastAsia="Calibri"/>
        </w:rPr>
        <w:t>entwick</w:t>
      </w:r>
      <w:r w:rsidR="0019085A">
        <w:rPr>
          <w:rFonts w:eastAsia="Calibri"/>
        </w:rPr>
        <w:t>eln wird.</w:t>
      </w:r>
    </w:p>
    <w:p w:rsidR="00F45817" w:rsidRDefault="00A92505" w:rsidP="00395815">
      <w:pPr>
        <w:pStyle w:val="MMFlietext"/>
      </w:pPr>
      <w:r w:rsidRPr="00F45817">
        <w:t>„</w:t>
      </w:r>
      <w:r w:rsidR="00936411" w:rsidRPr="00F45817">
        <w:t>Das Jahr 2016 hat vielerlei Herausforderungen für Leoni gebracht, die zu außerordentlichen Belastungen führt</w:t>
      </w:r>
      <w:r w:rsidR="004612DA" w:rsidRPr="00F45817">
        <w:t>e</w:t>
      </w:r>
      <w:r w:rsidR="00936411" w:rsidRPr="00F45817">
        <w:t xml:space="preserve">n. </w:t>
      </w:r>
      <w:r w:rsidR="00E367AB" w:rsidRPr="00F45817">
        <w:t>Wir sind jedoch m</w:t>
      </w:r>
      <w:r w:rsidR="00936411" w:rsidRPr="00F45817">
        <w:t>it dem operativen Geschäft</w:t>
      </w:r>
      <w:r w:rsidR="00E367AB" w:rsidRPr="00930134">
        <w:t>sverlauf</w:t>
      </w:r>
      <w:r w:rsidR="00936411" w:rsidRPr="00930134">
        <w:t xml:space="preserve"> </w:t>
      </w:r>
      <w:r w:rsidR="00E367AB" w:rsidRPr="00D56A62">
        <w:t xml:space="preserve">zufrieden und auch </w:t>
      </w:r>
      <w:r w:rsidR="00936411" w:rsidRPr="00D56A62">
        <w:t xml:space="preserve">zuversichtlich, 2017 wieder auf die </w:t>
      </w:r>
      <w:r w:rsidR="00E367AB" w:rsidRPr="00395815">
        <w:t>E</w:t>
      </w:r>
      <w:r w:rsidR="00936411" w:rsidRPr="00395815">
        <w:t>rfolgsspur zurückzukehren</w:t>
      </w:r>
      <w:r w:rsidRPr="00395815">
        <w:t>“, sagte Dieter Bellé, Vorstandsvorsitzender der Leoni AG, im Rahmen der Bilanzpressekonferenz der Unternehmensgruppe.</w:t>
      </w:r>
    </w:p>
    <w:p w:rsidR="00F45817" w:rsidRDefault="00F45817">
      <w:pPr>
        <w:rPr>
          <w:rFonts w:ascii="Arial" w:hAnsi="Arial" w:cs="Arial"/>
          <w:b/>
          <w:sz w:val="22"/>
          <w:szCs w:val="22"/>
        </w:rPr>
      </w:pPr>
      <w:r>
        <w:br w:type="page"/>
      </w:r>
    </w:p>
    <w:p w:rsidR="00A92505" w:rsidRPr="00F026D8" w:rsidRDefault="00A92505" w:rsidP="00F45817">
      <w:pPr>
        <w:pStyle w:val="MMZwischenberschrift"/>
      </w:pPr>
      <w:r w:rsidRPr="00F026D8">
        <w:lastRenderedPageBreak/>
        <w:t xml:space="preserve">WSD: </w:t>
      </w:r>
      <w:r w:rsidR="0090671E">
        <w:t xml:space="preserve">Reorganisation </w:t>
      </w:r>
      <w:r w:rsidR="00F64775">
        <w:t>implementiert</w:t>
      </w:r>
    </w:p>
    <w:p w:rsidR="0090671E" w:rsidRDefault="00A92505" w:rsidP="00F45817">
      <w:pPr>
        <w:pStyle w:val="MMFlietext"/>
        <w:rPr>
          <w:rFonts w:cs="Times New Roman"/>
          <w:szCs w:val="24"/>
        </w:rPr>
      </w:pPr>
      <w:r w:rsidRPr="00204990">
        <w:t xml:space="preserve">Der </w:t>
      </w:r>
      <w:r w:rsidR="002E009D">
        <w:t xml:space="preserve">Umsatz des </w:t>
      </w:r>
      <w:r w:rsidRPr="00204990">
        <w:t>Unternehmensbereich</w:t>
      </w:r>
      <w:r w:rsidR="002E009D">
        <w:t>s</w:t>
      </w:r>
      <w:r w:rsidRPr="00204990">
        <w:t xml:space="preserve"> </w:t>
      </w:r>
      <w:proofErr w:type="spellStart"/>
      <w:r w:rsidRPr="00204990">
        <w:t>Wiring</w:t>
      </w:r>
      <w:proofErr w:type="spellEnd"/>
      <w:r w:rsidRPr="00204990">
        <w:t xml:space="preserve"> Systems (WSD)</w:t>
      </w:r>
      <w:r>
        <w:t xml:space="preserve"> </w:t>
      </w:r>
      <w:r w:rsidR="002E009D">
        <w:t xml:space="preserve">ist </w:t>
      </w:r>
      <w:r>
        <w:t xml:space="preserve">im Berichtsjahr </w:t>
      </w:r>
      <w:r w:rsidR="002E009D">
        <w:t xml:space="preserve">leicht </w:t>
      </w:r>
      <w:r>
        <w:t xml:space="preserve">auf </w:t>
      </w:r>
      <w:r w:rsidR="00F45817">
        <w:t xml:space="preserve">2,69 Mrd. </w:t>
      </w:r>
      <w:r w:rsidR="002E009D">
        <w:t xml:space="preserve">Euro (2015: </w:t>
      </w:r>
      <w:r w:rsidR="00F45817">
        <w:t xml:space="preserve">2,67 Mrd. </w:t>
      </w:r>
      <w:r>
        <w:t>Euro</w:t>
      </w:r>
      <w:r w:rsidR="002E009D">
        <w:t>)</w:t>
      </w:r>
      <w:r>
        <w:t xml:space="preserve"> </w:t>
      </w:r>
      <w:r w:rsidR="002E009D">
        <w:t>ge</w:t>
      </w:r>
      <w:r>
        <w:t>sti</w:t>
      </w:r>
      <w:r w:rsidR="004612DA">
        <w:t>e</w:t>
      </w:r>
      <w:r>
        <w:t xml:space="preserve">gen. Besonders </w:t>
      </w:r>
      <w:r w:rsidR="004612DA">
        <w:rPr>
          <w:rFonts w:cs="Times New Roman"/>
          <w:szCs w:val="24"/>
        </w:rPr>
        <w:t xml:space="preserve">gut entwickelte sich die Nachfrage nach Bordnetz-Systemen für Premiumfahrzeuge. Auch das Geschäft mit der internationalen Zulieferindustrie verlief erfreulich. Der größte prozentuale Zuwachs gelang im Bereich Elektromobilität, wo zudem ein Auftragseingang von ca. 400 Mio. Euro zu verzeichnen ist. </w:t>
      </w:r>
      <w:r w:rsidR="0090671E">
        <w:rPr>
          <w:rFonts w:cs="Times New Roman"/>
          <w:szCs w:val="24"/>
        </w:rPr>
        <w:t>Ein strategischer Erfolg, der Leonis</w:t>
      </w:r>
      <w:r w:rsidR="0090671E" w:rsidRPr="00AA6908">
        <w:rPr>
          <w:rFonts w:cs="Times New Roman"/>
          <w:szCs w:val="24"/>
        </w:rPr>
        <w:t xml:space="preserve"> Position im asiatischen Markt </w:t>
      </w:r>
      <w:r w:rsidR="0090671E">
        <w:rPr>
          <w:rFonts w:cs="Times New Roman"/>
          <w:szCs w:val="24"/>
        </w:rPr>
        <w:t xml:space="preserve">stärkt, ist der Erwerb von </w:t>
      </w:r>
      <w:r w:rsidR="0090671E" w:rsidRPr="00AA6908">
        <w:rPr>
          <w:rFonts w:cs="Times New Roman"/>
          <w:szCs w:val="24"/>
        </w:rPr>
        <w:t xml:space="preserve">51 Prozent des </w:t>
      </w:r>
      <w:r w:rsidR="0090671E">
        <w:rPr>
          <w:rFonts w:cs="Times New Roman"/>
          <w:szCs w:val="24"/>
        </w:rPr>
        <w:t xml:space="preserve">chinesischen </w:t>
      </w:r>
      <w:r w:rsidR="0090671E" w:rsidRPr="00AA6908">
        <w:rPr>
          <w:rFonts w:cs="Times New Roman"/>
          <w:szCs w:val="24"/>
        </w:rPr>
        <w:t xml:space="preserve">Bordnetz-Herstellers Wuhan </w:t>
      </w:r>
      <w:proofErr w:type="spellStart"/>
      <w:r w:rsidR="0090671E" w:rsidRPr="00AA6908">
        <w:rPr>
          <w:rFonts w:cs="Times New Roman"/>
          <w:szCs w:val="24"/>
        </w:rPr>
        <w:t>Hengtong</w:t>
      </w:r>
      <w:proofErr w:type="spellEnd"/>
      <w:r w:rsidR="0090671E" w:rsidRPr="00AA6908">
        <w:rPr>
          <w:rFonts w:cs="Times New Roman"/>
          <w:szCs w:val="24"/>
        </w:rPr>
        <w:t xml:space="preserve"> Automotive</w:t>
      </w:r>
      <w:r w:rsidR="0090671E">
        <w:rPr>
          <w:rFonts w:cs="Times New Roman"/>
          <w:szCs w:val="24"/>
        </w:rPr>
        <w:t xml:space="preserve"> zur Belieferung des Kunden</w:t>
      </w:r>
      <w:r w:rsidR="0090671E" w:rsidRPr="00AA6908">
        <w:rPr>
          <w:rFonts w:cs="Times New Roman"/>
          <w:szCs w:val="24"/>
        </w:rPr>
        <w:t xml:space="preserve"> </w:t>
      </w:r>
      <w:proofErr w:type="spellStart"/>
      <w:r w:rsidR="0022421D">
        <w:rPr>
          <w:rFonts w:cs="Times New Roman"/>
          <w:szCs w:val="24"/>
        </w:rPr>
        <w:t>Dongfeng</w:t>
      </w:r>
      <w:proofErr w:type="spellEnd"/>
      <w:r w:rsidR="0022421D">
        <w:rPr>
          <w:rFonts w:cs="Times New Roman"/>
          <w:szCs w:val="24"/>
        </w:rPr>
        <w:t xml:space="preserve"> Peugeot Citro</w:t>
      </w:r>
      <w:r w:rsidR="00395815">
        <w:rPr>
          <w:szCs w:val="24"/>
        </w:rPr>
        <w:t>ë</w:t>
      </w:r>
      <w:r w:rsidR="0022421D">
        <w:rPr>
          <w:rFonts w:cs="Times New Roman"/>
          <w:szCs w:val="24"/>
        </w:rPr>
        <w:t>n Automobile</w:t>
      </w:r>
      <w:r w:rsidR="0090671E">
        <w:rPr>
          <w:rFonts w:cs="Times New Roman"/>
          <w:szCs w:val="24"/>
        </w:rPr>
        <w:t xml:space="preserve">. </w:t>
      </w:r>
    </w:p>
    <w:p w:rsidR="00A92505" w:rsidRDefault="0090671E" w:rsidP="00F45817">
      <w:pPr>
        <w:pStyle w:val="MMFlietext"/>
      </w:pPr>
      <w:r>
        <w:t xml:space="preserve">Die im Geschäftsjahr 2016 eingeleitete Reorganisation </w:t>
      </w:r>
      <w:r w:rsidR="005A0F90">
        <w:t>wurde implementiert</w:t>
      </w:r>
      <w:r>
        <w:t>. Die Strukturen des Unternehmensbereichs sind nun schlanker</w:t>
      </w:r>
      <w:r w:rsidR="00D85488">
        <w:t xml:space="preserve">, damit </w:t>
      </w:r>
      <w:r>
        <w:t>Entscheidungswege verkürz</w:t>
      </w:r>
      <w:r w:rsidR="00D85488">
        <w:t xml:space="preserve">t und </w:t>
      </w:r>
      <w:r>
        <w:t xml:space="preserve">Verantwortlichkeiten </w:t>
      </w:r>
      <w:r w:rsidR="00D85488">
        <w:t xml:space="preserve">neu definiert. </w:t>
      </w:r>
      <w:r w:rsidR="00DA077B">
        <w:t>Ferner ist es gelungen, die Performance der kritischen Projekte zu steigern und den rumänischen Standort zu entlasten. D</w:t>
      </w:r>
      <w:r>
        <w:t xml:space="preserve">er </w:t>
      </w:r>
      <w:r w:rsidR="00DA077B">
        <w:t xml:space="preserve">geplante </w:t>
      </w:r>
      <w:r>
        <w:t xml:space="preserve">Abbau von </w:t>
      </w:r>
      <w:r w:rsidR="00DA077B">
        <w:t xml:space="preserve">weltweit </w:t>
      </w:r>
      <w:r>
        <w:t>rund 1.100 Stellen im indirekten Bereich</w:t>
      </w:r>
      <w:r w:rsidR="00DA077B">
        <w:t xml:space="preserve"> </w:t>
      </w:r>
      <w:r>
        <w:t>führte im Berichtsjahr zu hohen Restrukturierungsaufwendungen</w:t>
      </w:r>
      <w:r w:rsidR="00DA077B">
        <w:t xml:space="preserve"> von 27,8 Mio. Euro</w:t>
      </w:r>
      <w:r>
        <w:t xml:space="preserve">. </w:t>
      </w:r>
      <w:r w:rsidR="00DA077B">
        <w:t xml:space="preserve">Daraus sind </w:t>
      </w:r>
      <w:r>
        <w:t>nachhaltig positive Ergebniseffekte zu erwarten</w:t>
      </w:r>
      <w:r w:rsidR="00DA077B">
        <w:t xml:space="preserve">, die sich im laufenden Jahr auf ca. </w:t>
      </w:r>
      <w:r w:rsidR="00395815">
        <w:br/>
      </w:r>
      <w:r w:rsidR="00DA077B">
        <w:t>15 Mio. Euro belaufen werden</w:t>
      </w:r>
      <w:r w:rsidR="00A92505">
        <w:t>.</w:t>
      </w:r>
      <w:r w:rsidR="005A0F90">
        <w:t xml:space="preserve"> Das</w:t>
      </w:r>
      <w:r w:rsidR="00BE195E">
        <w:t xml:space="preserve"> Segment-EBIT </w:t>
      </w:r>
      <w:r w:rsidR="005A0F90">
        <w:t xml:space="preserve">ging </w:t>
      </w:r>
      <w:r w:rsidR="00F45817">
        <w:t xml:space="preserve">inklusive der Belastungen aus dem Restrukturierungsprogramm </w:t>
      </w:r>
      <w:r w:rsidR="00BE195E">
        <w:t xml:space="preserve">im Berichtsjahr auf </w:t>
      </w:r>
      <w:r w:rsidR="00395815">
        <w:br/>
      </w:r>
      <w:r w:rsidR="00BE195E" w:rsidRPr="00BE195E">
        <w:t xml:space="preserve">34,7 Mio. </w:t>
      </w:r>
      <w:r w:rsidR="00BE195E">
        <w:t>Euro (2015: 87,</w:t>
      </w:r>
      <w:r w:rsidR="00A00B82">
        <w:t>4</w:t>
      </w:r>
      <w:r w:rsidR="00BE195E">
        <w:t xml:space="preserve"> Mio. Euro) zurück. Der </w:t>
      </w:r>
      <w:r w:rsidR="00BE195E" w:rsidRPr="00BE195E">
        <w:t>Vorjahres</w:t>
      </w:r>
      <w:r w:rsidR="00BE195E">
        <w:t xml:space="preserve">wert hatte einen </w:t>
      </w:r>
      <w:r w:rsidR="00BE195E" w:rsidRPr="00BE195E">
        <w:t>positive</w:t>
      </w:r>
      <w:r w:rsidR="00BE195E">
        <w:t>n</w:t>
      </w:r>
      <w:r w:rsidR="00BE195E" w:rsidRPr="00BE195E">
        <w:t xml:space="preserve"> Effekt von 19,6 Mio. </w:t>
      </w:r>
      <w:r w:rsidR="00BE195E">
        <w:t>Euro</w:t>
      </w:r>
      <w:r w:rsidR="00BE195E" w:rsidRPr="00BE195E">
        <w:t xml:space="preserve"> aus der </w:t>
      </w:r>
      <w:r w:rsidR="00BE195E">
        <w:t>Teil-</w:t>
      </w:r>
      <w:r w:rsidR="00BE195E" w:rsidRPr="00BE195E">
        <w:t xml:space="preserve">Veräußerung </w:t>
      </w:r>
      <w:r w:rsidR="00BE195E">
        <w:t xml:space="preserve">einer chinesischen Gesellschaft enthalten. Um </w:t>
      </w:r>
      <w:r w:rsidR="00BE195E" w:rsidRPr="00BE195E">
        <w:t xml:space="preserve">die nicht-operativen Effekte </w:t>
      </w:r>
      <w:r w:rsidR="00BE195E">
        <w:t xml:space="preserve">bereinigt, lag das 2016er EBIT annähernd auf dem Niveau des Jahres 2015. </w:t>
      </w:r>
    </w:p>
    <w:p w:rsidR="00A92505" w:rsidRPr="00A5162F" w:rsidRDefault="00A92505" w:rsidP="00A92505">
      <w:pPr>
        <w:pStyle w:val="MMZwischenberschrift"/>
      </w:pPr>
      <w:r w:rsidRPr="00A5162F">
        <w:t xml:space="preserve">WCS: </w:t>
      </w:r>
      <w:r w:rsidR="00184E80">
        <w:t xml:space="preserve">Deutliche Margenverbesserung </w:t>
      </w:r>
      <w:r w:rsidRPr="005F490F">
        <w:t xml:space="preserve"> </w:t>
      </w:r>
    </w:p>
    <w:p w:rsidR="00432D1D" w:rsidRDefault="00A92505" w:rsidP="00F45817">
      <w:pPr>
        <w:pStyle w:val="MMFlietext"/>
      </w:pPr>
      <w:r w:rsidRPr="00A5162F">
        <w:t>D</w:t>
      </w:r>
      <w:r w:rsidR="00432D1D">
        <w:t>as</w:t>
      </w:r>
      <w:r w:rsidRPr="00A5162F">
        <w:t xml:space="preserve"> </w:t>
      </w:r>
      <w:r w:rsidR="00432D1D">
        <w:t xml:space="preserve">2016 im </w:t>
      </w:r>
      <w:r w:rsidRPr="00A5162F">
        <w:t xml:space="preserve">Unternehmensbereich </w:t>
      </w:r>
      <w:proofErr w:type="spellStart"/>
      <w:r w:rsidRPr="00A5162F">
        <w:t>W</w:t>
      </w:r>
      <w:r>
        <w:t>ire</w:t>
      </w:r>
      <w:proofErr w:type="spellEnd"/>
      <w:r>
        <w:t xml:space="preserve"> &amp; Cable Solutions (WCS) </w:t>
      </w:r>
      <w:r w:rsidR="00432D1D">
        <w:t xml:space="preserve">aus eigener Kraft erzielte Wachstum wurde </w:t>
      </w:r>
      <w:r w:rsidR="00432D1D" w:rsidRPr="003B6121">
        <w:t xml:space="preserve">durch hohe negative Effekte aus </w:t>
      </w:r>
      <w:r w:rsidR="00432D1D">
        <w:t xml:space="preserve">dem niedrigeren Kupferpreis und </w:t>
      </w:r>
      <w:r w:rsidR="00432D1D" w:rsidRPr="003B6121">
        <w:t>der Veränderung von Wechselkursen überkompensiert</w:t>
      </w:r>
      <w:r w:rsidR="00432D1D">
        <w:t xml:space="preserve"> – so dass der Segment-Umsatz auf </w:t>
      </w:r>
      <w:r w:rsidR="00A00B82">
        <w:t xml:space="preserve">1,74 Mrd. </w:t>
      </w:r>
      <w:r w:rsidR="00432D1D">
        <w:t xml:space="preserve">Euro (2015: </w:t>
      </w:r>
      <w:r w:rsidR="00A00B82">
        <w:t xml:space="preserve">1,83 Mrd. </w:t>
      </w:r>
      <w:r w:rsidR="00432D1D">
        <w:t xml:space="preserve">Euro) </w:t>
      </w:r>
      <w:r w:rsidR="00432D1D" w:rsidRPr="003B6121">
        <w:t>zurück</w:t>
      </w:r>
      <w:r w:rsidR="00432D1D">
        <w:t>ging</w:t>
      </w:r>
      <w:r w:rsidR="00432D1D" w:rsidRPr="003B6121">
        <w:t xml:space="preserve">. </w:t>
      </w:r>
      <w:r w:rsidR="00432D1D">
        <w:t>Neben eine</w:t>
      </w:r>
      <w:r w:rsidR="008C29CB">
        <w:t>m</w:t>
      </w:r>
      <w:r w:rsidR="00432D1D">
        <w:t xml:space="preserve"> </w:t>
      </w:r>
      <w:r w:rsidR="00432D1D" w:rsidRPr="003B6121">
        <w:t>anhaltend</w:t>
      </w:r>
      <w:r w:rsidR="00432D1D" w:rsidRPr="00A802B7">
        <w:t xml:space="preserve"> </w:t>
      </w:r>
      <w:r w:rsidR="008C29CB">
        <w:t xml:space="preserve">guten Geschäft mit </w:t>
      </w:r>
      <w:r w:rsidR="00432D1D">
        <w:lastRenderedPageBreak/>
        <w:t>Fahrzeugleitungen in Europa und Amerika</w:t>
      </w:r>
      <w:r w:rsidR="00432D1D" w:rsidRPr="00A802B7">
        <w:t xml:space="preserve"> </w:t>
      </w:r>
      <w:r w:rsidR="008C29CB">
        <w:t xml:space="preserve">war insbesondere eine gestiegene </w:t>
      </w:r>
      <w:r w:rsidR="00432D1D">
        <w:t xml:space="preserve">Nachfrage </w:t>
      </w:r>
      <w:r w:rsidR="008C29CB">
        <w:t xml:space="preserve">aus den Bereichen </w:t>
      </w:r>
      <w:r w:rsidR="00432D1D">
        <w:t>Robotik, Medizintechnik sowie</w:t>
      </w:r>
      <w:r w:rsidR="004F244E">
        <w:t xml:space="preserve"> der</w:t>
      </w:r>
      <w:r w:rsidR="00432D1D">
        <w:t xml:space="preserve"> Automatisierungs- und Antriebstechnik</w:t>
      </w:r>
      <w:r w:rsidR="008C29CB">
        <w:t xml:space="preserve"> zu verzeichnen. </w:t>
      </w:r>
      <w:r w:rsidR="00626983">
        <w:t xml:space="preserve">Im Rahmen der strategischen Neuausrichtung als </w:t>
      </w:r>
      <w:r w:rsidR="00184E80">
        <w:t xml:space="preserve">Lösungsanbieter sowie </w:t>
      </w:r>
      <w:r w:rsidR="00626983">
        <w:t xml:space="preserve">System- und Entwicklungspartner </w:t>
      </w:r>
      <w:r w:rsidR="00774E03">
        <w:t xml:space="preserve">hat </w:t>
      </w:r>
      <w:r w:rsidR="00626983">
        <w:t xml:space="preserve">der Unternehmensbereich </w:t>
      </w:r>
      <w:r w:rsidR="00774E03">
        <w:t xml:space="preserve">2016 </w:t>
      </w:r>
      <w:r w:rsidR="00626983">
        <w:t>sein Portfolio</w:t>
      </w:r>
      <w:r w:rsidR="00774E03">
        <w:t xml:space="preserve"> gestrafft, und dazu </w:t>
      </w:r>
      <w:r w:rsidR="00626983">
        <w:t>die Tochtergesellschaft L</w:t>
      </w:r>
      <w:r w:rsidR="00184E80">
        <w:t>eoni</w:t>
      </w:r>
      <w:r w:rsidR="00626983">
        <w:t xml:space="preserve"> Studer Hard GmbH </w:t>
      </w:r>
      <w:r w:rsidR="00626983" w:rsidRPr="006B4926">
        <w:t>veräußert</w:t>
      </w:r>
      <w:r w:rsidR="00774E03">
        <w:t xml:space="preserve"> sowie den Verkauf des Geschäfts mit Haus- und Elektrogerätekabel </w:t>
      </w:r>
      <w:r w:rsidR="00230401">
        <w:t>eingeleitet</w:t>
      </w:r>
      <w:r w:rsidR="00774E03">
        <w:t xml:space="preserve">, der im ersten Halbjahr 2017 abgeschlossen werden soll. </w:t>
      </w:r>
      <w:r w:rsidR="00184E80">
        <w:t>Des Weiteren hat die Entwicklung intelligenter Kabel begonnen – mit dem Ziel, die industrielle Digitalisierung mitzugestalten und die Wettbewerbsfähigkeit der Kunden mit entsprechenden Lösungen zu steigern.</w:t>
      </w:r>
    </w:p>
    <w:p w:rsidR="00A92505" w:rsidRPr="00980D94" w:rsidRDefault="003E190D" w:rsidP="00F45817">
      <w:pPr>
        <w:pStyle w:val="MMFlietext"/>
      </w:pPr>
      <w:r>
        <w:t>Begünstigt von der positiven operativen Geschäftsentwicklung und von einem höheren Anteil margenstärkerer Produkte und Lösungen, erhöhte sich d</w:t>
      </w:r>
      <w:r w:rsidR="00A92505">
        <w:t xml:space="preserve">as Segment-EBIT </w:t>
      </w:r>
      <w:r>
        <w:t xml:space="preserve">im Berichtszeitraum signifikant um rund 31 Prozent auf </w:t>
      </w:r>
      <w:r w:rsidR="001A2F5B">
        <w:br/>
      </w:r>
      <w:r>
        <w:t>83,7 Mio. Euro (2015: 63,9 Mio. Euro)</w:t>
      </w:r>
      <w:r w:rsidR="00184E80">
        <w:t>.</w:t>
      </w:r>
      <w:r>
        <w:t xml:space="preserve"> Der Wert enthält </w:t>
      </w:r>
      <w:r w:rsidR="00184E80">
        <w:t>einen Buchgewinn von 3,3 Mio. Euro aus dem Verkauf der Tochtergesellschaft sowie als gegen</w:t>
      </w:r>
      <w:r w:rsidR="001A2F5B">
        <w:t>-</w:t>
      </w:r>
      <w:r w:rsidR="00184E80">
        <w:t xml:space="preserve">läufigen Effekt </w:t>
      </w:r>
      <w:r w:rsidRPr="00980D94">
        <w:t>Restrukturierungsaufwendungen in Höhe von 3,6 Mio. Euro</w:t>
      </w:r>
      <w:r w:rsidR="00184E80" w:rsidRPr="00980D94">
        <w:t xml:space="preserve">. </w:t>
      </w:r>
    </w:p>
    <w:p w:rsidR="00A92505" w:rsidRPr="00980D94" w:rsidRDefault="00A92505" w:rsidP="00A92505">
      <w:pPr>
        <w:pStyle w:val="MMZwischenberschrift"/>
      </w:pPr>
      <w:r w:rsidRPr="00980D94">
        <w:t xml:space="preserve">Investitionen </w:t>
      </w:r>
      <w:r w:rsidR="00230401">
        <w:t>unter Vorjahr</w:t>
      </w:r>
      <w:r w:rsidRPr="00980D94">
        <w:t xml:space="preserve"> </w:t>
      </w:r>
    </w:p>
    <w:p w:rsidR="00980D94" w:rsidRDefault="00A92505" w:rsidP="00F45817">
      <w:pPr>
        <w:pStyle w:val="MMFlietext"/>
        <w:rPr>
          <w:rFonts w:eastAsia="Calibri"/>
        </w:rPr>
      </w:pPr>
      <w:r w:rsidRPr="00980D94">
        <w:t>Im Geschäftsjahr 201</w:t>
      </w:r>
      <w:r w:rsidR="00980D94" w:rsidRPr="00980D94">
        <w:t>6</w:t>
      </w:r>
      <w:r w:rsidRPr="00980D94">
        <w:t xml:space="preserve"> hat Leoni </w:t>
      </w:r>
      <w:r w:rsidR="00980D94" w:rsidRPr="00980D94">
        <w:t xml:space="preserve">mit </w:t>
      </w:r>
      <w:r w:rsidR="00980D94" w:rsidRPr="00980D94">
        <w:rPr>
          <w:rFonts w:eastAsia="Calibri"/>
        </w:rPr>
        <w:t xml:space="preserve">211 Mio. Euro </w:t>
      </w:r>
      <w:r w:rsidRPr="00980D94">
        <w:t xml:space="preserve">erneut stark </w:t>
      </w:r>
      <w:r w:rsidR="00980D94" w:rsidRPr="00980D94">
        <w:t>in</w:t>
      </w:r>
      <w:r w:rsidR="00980D94" w:rsidRPr="00980D94">
        <w:rPr>
          <w:rFonts w:eastAsia="Calibri"/>
        </w:rPr>
        <w:t xml:space="preserve"> Sachanlagen und immaterielle Vermögenswerte </w:t>
      </w:r>
      <w:r w:rsidRPr="00980D94">
        <w:t>investiert</w:t>
      </w:r>
      <w:r w:rsidR="00980D94" w:rsidRPr="00980D94">
        <w:t xml:space="preserve">, das Volumen jedoch im Vergleich zum Vorjahr (248 Mio. Euro) um </w:t>
      </w:r>
      <w:r w:rsidR="00980D94" w:rsidRPr="00980D94">
        <w:rPr>
          <w:rFonts w:eastAsia="Calibri"/>
        </w:rPr>
        <w:t>circa</w:t>
      </w:r>
      <w:r w:rsidR="00980D94">
        <w:rPr>
          <w:rFonts w:eastAsia="Calibri"/>
        </w:rPr>
        <w:t xml:space="preserve"> </w:t>
      </w:r>
      <w:r w:rsidR="00A00B82">
        <w:rPr>
          <w:rFonts w:eastAsia="Calibri"/>
        </w:rPr>
        <w:t xml:space="preserve">15 Prozent </w:t>
      </w:r>
      <w:r w:rsidR="00980D94">
        <w:rPr>
          <w:rFonts w:eastAsia="Calibri"/>
        </w:rPr>
        <w:t xml:space="preserve">reduziert. Die Investitionen betrafen vor allem den </w:t>
      </w:r>
      <w:r w:rsidR="002855D6">
        <w:rPr>
          <w:rFonts w:eastAsia="Calibri"/>
        </w:rPr>
        <w:t>A</w:t>
      </w:r>
      <w:r w:rsidR="00980D94">
        <w:rPr>
          <w:rFonts w:eastAsia="Calibri"/>
        </w:rPr>
        <w:t xml:space="preserve">usbau </w:t>
      </w:r>
      <w:r w:rsidR="002855D6">
        <w:rPr>
          <w:rFonts w:eastAsia="Calibri"/>
        </w:rPr>
        <w:t xml:space="preserve">der </w:t>
      </w:r>
      <w:r w:rsidR="00980D94">
        <w:rPr>
          <w:rFonts w:eastAsia="Calibri"/>
        </w:rPr>
        <w:t xml:space="preserve">Bordnetzfertigung in China, Nordafrika und Osteuropa sowie Umbaumaßnahmen am deutschen Standort Kitzingen. </w:t>
      </w:r>
      <w:r w:rsidR="002855D6">
        <w:rPr>
          <w:rFonts w:eastAsia="Calibri"/>
        </w:rPr>
        <w:t>Der Unternehmens</w:t>
      </w:r>
      <w:r w:rsidR="001A2F5B">
        <w:rPr>
          <w:rFonts w:eastAsia="Calibri"/>
        </w:rPr>
        <w:t>-</w:t>
      </w:r>
      <w:r w:rsidR="002855D6">
        <w:rPr>
          <w:rFonts w:eastAsia="Calibri"/>
        </w:rPr>
        <w:t>bereich WCS v</w:t>
      </w:r>
      <w:r w:rsidR="00980D94">
        <w:rPr>
          <w:rFonts w:eastAsia="Calibri"/>
        </w:rPr>
        <w:t>ergrößer</w:t>
      </w:r>
      <w:r w:rsidR="002855D6">
        <w:rPr>
          <w:rFonts w:eastAsia="Calibri"/>
        </w:rPr>
        <w:t xml:space="preserve">te unter anderem seine </w:t>
      </w:r>
      <w:r w:rsidR="00980D94">
        <w:rPr>
          <w:rFonts w:eastAsia="Calibri"/>
        </w:rPr>
        <w:t>Kapazitäten für Automobil-Sonderleitungen</w:t>
      </w:r>
      <w:r w:rsidR="002855D6">
        <w:rPr>
          <w:rFonts w:eastAsia="Calibri"/>
        </w:rPr>
        <w:t xml:space="preserve">, nahm eine </w:t>
      </w:r>
      <w:r w:rsidR="00980D94">
        <w:rPr>
          <w:rFonts w:eastAsia="Calibri"/>
        </w:rPr>
        <w:t xml:space="preserve">PVC-Aufbereitungsanlage in China in Betrieb </w:t>
      </w:r>
      <w:r w:rsidR="002855D6">
        <w:rPr>
          <w:rFonts w:eastAsia="Calibri"/>
        </w:rPr>
        <w:t xml:space="preserve">und </w:t>
      </w:r>
      <w:r w:rsidR="0023293F">
        <w:rPr>
          <w:rFonts w:eastAsia="Calibri"/>
        </w:rPr>
        <w:t xml:space="preserve">hat mit der Installation </w:t>
      </w:r>
      <w:r w:rsidR="00980D94">
        <w:rPr>
          <w:rFonts w:eastAsia="Calibri"/>
        </w:rPr>
        <w:t>eine</w:t>
      </w:r>
      <w:r w:rsidR="0023293F">
        <w:rPr>
          <w:rFonts w:eastAsia="Calibri"/>
        </w:rPr>
        <w:t>r</w:t>
      </w:r>
      <w:r w:rsidR="00980D94">
        <w:rPr>
          <w:rFonts w:eastAsia="Calibri"/>
        </w:rPr>
        <w:t xml:space="preserve"> Strahlenvernetzungsanlage in Indien</w:t>
      </w:r>
      <w:r w:rsidR="0023293F">
        <w:rPr>
          <w:rFonts w:eastAsia="Calibri"/>
        </w:rPr>
        <w:t xml:space="preserve"> begonnen</w:t>
      </w:r>
      <w:r w:rsidR="002855D6">
        <w:rPr>
          <w:rFonts w:eastAsia="Calibri"/>
        </w:rPr>
        <w:t xml:space="preserve">. </w:t>
      </w:r>
    </w:p>
    <w:p w:rsidR="00A92505" w:rsidRPr="0001259D" w:rsidRDefault="00A92505" w:rsidP="00A92505">
      <w:pPr>
        <w:pStyle w:val="MMZwischenberschrift"/>
        <w:rPr>
          <w:highlight w:val="yellow"/>
        </w:rPr>
      </w:pPr>
      <w:r w:rsidRPr="006B2678">
        <w:t>Finanz</w:t>
      </w:r>
      <w:r w:rsidR="00313ADA" w:rsidRPr="006B2678">
        <w:t>- und Vermögens</w:t>
      </w:r>
      <w:r w:rsidRPr="006B2678">
        <w:t>la</w:t>
      </w:r>
      <w:r w:rsidRPr="007E6562">
        <w:t xml:space="preserve">ge: </w:t>
      </w:r>
      <w:r w:rsidR="00A00B82">
        <w:t>Free</w:t>
      </w:r>
      <w:r w:rsidR="007E6562" w:rsidRPr="007E6562">
        <w:t xml:space="preserve"> Cashflow durch Sonder</w:t>
      </w:r>
      <w:r w:rsidR="00B1500E">
        <w:t>effekte</w:t>
      </w:r>
      <w:r w:rsidR="007E6562" w:rsidRPr="007E6562">
        <w:t xml:space="preserve"> be</w:t>
      </w:r>
      <w:r w:rsidR="00A00B82">
        <w:t>lastet</w:t>
      </w:r>
      <w:r w:rsidR="00313ADA" w:rsidRPr="007E6562">
        <w:t xml:space="preserve"> </w:t>
      </w:r>
    </w:p>
    <w:p w:rsidR="002855D6" w:rsidRPr="00A801EA" w:rsidRDefault="00DA79F8" w:rsidP="00F45817">
      <w:pPr>
        <w:pStyle w:val="MMFlietext"/>
      </w:pPr>
      <w:r>
        <w:t>D</w:t>
      </w:r>
      <w:r w:rsidR="00313ADA">
        <w:t xml:space="preserve">er operative Cashflow war in der Berichtsperiode durch den Betrugsfall und das Restrukturierungsprogramm </w:t>
      </w:r>
      <w:r w:rsidR="00230401">
        <w:t xml:space="preserve">stark </w:t>
      </w:r>
      <w:r w:rsidR="00313ADA">
        <w:t xml:space="preserve">belastet. Der </w:t>
      </w:r>
      <w:r w:rsidR="00313ADA" w:rsidRPr="00DA79F8">
        <w:t xml:space="preserve">Free Cashflow </w:t>
      </w:r>
      <w:r>
        <w:t>verr</w:t>
      </w:r>
      <w:r w:rsidRPr="00DA79F8">
        <w:t xml:space="preserve">ingerte sich von -5,2 Mio. </w:t>
      </w:r>
      <w:r>
        <w:t>Euro</w:t>
      </w:r>
      <w:r w:rsidRPr="00DA79F8">
        <w:t xml:space="preserve"> </w:t>
      </w:r>
      <w:r>
        <w:t xml:space="preserve">im Jahr 2015 </w:t>
      </w:r>
      <w:r w:rsidRPr="00DA79F8">
        <w:t xml:space="preserve">auf -40,3 Mio. </w:t>
      </w:r>
      <w:r>
        <w:t>Euro im Jahr 2016</w:t>
      </w:r>
      <w:r w:rsidRPr="00DA79F8">
        <w:t xml:space="preserve">. </w:t>
      </w:r>
      <w:r w:rsidR="00FD0E7A">
        <w:lastRenderedPageBreak/>
        <w:t xml:space="preserve">Bereinigt um den Mittelabfluss aus dem Betrugsfall und der Restrukturierung war der Free </w:t>
      </w:r>
      <w:r w:rsidR="00FD0E7A" w:rsidRPr="00395815">
        <w:t xml:space="preserve">Cashflow positiv. </w:t>
      </w:r>
      <w:r w:rsidR="00313ADA" w:rsidRPr="00395815">
        <w:t>Das</w:t>
      </w:r>
      <w:r w:rsidR="00313ADA" w:rsidRPr="0030333C">
        <w:t xml:space="preserve"> Eigenkapital </w:t>
      </w:r>
      <w:r w:rsidR="00A801EA">
        <w:t xml:space="preserve">sank </w:t>
      </w:r>
      <w:r w:rsidR="00313ADA">
        <w:t xml:space="preserve">in der Berichtsperiode im Wesentlichen </w:t>
      </w:r>
      <w:r w:rsidR="00313ADA" w:rsidRPr="0066292E">
        <w:t>aufgrund des deutlich niedrigeren Gewinns</w:t>
      </w:r>
      <w:r w:rsidR="00313ADA" w:rsidRPr="006B2678">
        <w:t xml:space="preserve"> </w:t>
      </w:r>
      <w:r w:rsidR="0066292E">
        <w:t xml:space="preserve">und </w:t>
      </w:r>
      <w:r w:rsidR="00230401">
        <w:t>negative</w:t>
      </w:r>
      <w:r w:rsidR="00F45817">
        <w:t>r</w:t>
      </w:r>
      <w:r w:rsidR="00230401">
        <w:t xml:space="preserve"> Bewertungseinflüsse bei Pensionen und aus Währungen</w:t>
      </w:r>
      <w:r w:rsidR="0066292E">
        <w:t xml:space="preserve"> </w:t>
      </w:r>
      <w:r w:rsidR="00313ADA" w:rsidRPr="006B2678">
        <w:t>um rund 8 Prozent auf 91</w:t>
      </w:r>
      <w:r w:rsidR="00A00B82">
        <w:t>6</w:t>
      </w:r>
      <w:r w:rsidR="00313ADA" w:rsidRPr="006B2678">
        <w:t xml:space="preserve"> Mio</w:t>
      </w:r>
      <w:r w:rsidR="006B2678" w:rsidRPr="006B2678">
        <w:t>.</w:t>
      </w:r>
      <w:r w:rsidR="00313ADA" w:rsidRPr="006B2678">
        <w:t xml:space="preserve"> Euro (2015: </w:t>
      </w:r>
      <w:r w:rsidR="00A92505" w:rsidRPr="006B2678">
        <w:t>996 Mio. Euro</w:t>
      </w:r>
      <w:r w:rsidR="00313ADA" w:rsidRPr="006B2678">
        <w:t xml:space="preserve">); </w:t>
      </w:r>
      <w:r w:rsidR="00A92505" w:rsidRPr="006B2678">
        <w:t xml:space="preserve">die Eigenkapitalquote </w:t>
      </w:r>
      <w:r w:rsidR="00A801EA">
        <w:t xml:space="preserve">lag </w:t>
      </w:r>
      <w:r w:rsidR="00A92505" w:rsidRPr="006B2678">
        <w:t xml:space="preserve">zum Stichtag </w:t>
      </w:r>
      <w:r w:rsidR="00A801EA">
        <w:t>bei</w:t>
      </w:r>
      <w:r w:rsidR="00A92505" w:rsidRPr="006B2678">
        <w:t xml:space="preserve"> </w:t>
      </w:r>
      <w:r w:rsidR="00313ADA" w:rsidRPr="006B2678">
        <w:t xml:space="preserve">31 Prozent nach </w:t>
      </w:r>
      <w:r w:rsidR="00A92505" w:rsidRPr="00A801EA">
        <w:t xml:space="preserve">35 Prozent </w:t>
      </w:r>
      <w:r w:rsidR="00313ADA" w:rsidRPr="00A801EA">
        <w:t xml:space="preserve">im </w:t>
      </w:r>
      <w:r w:rsidR="00A92505" w:rsidRPr="00A801EA">
        <w:t>Vorjahr.</w:t>
      </w:r>
      <w:r w:rsidR="002855D6" w:rsidRPr="00A801EA">
        <w:t xml:space="preserve"> </w:t>
      </w:r>
    </w:p>
    <w:p w:rsidR="00A92505" w:rsidRPr="00A801EA" w:rsidRDefault="00A92505" w:rsidP="00A92505">
      <w:pPr>
        <w:tabs>
          <w:tab w:val="left" w:pos="8505"/>
        </w:tabs>
        <w:spacing w:line="360" w:lineRule="auto"/>
        <w:ind w:right="1922"/>
        <w:rPr>
          <w:rFonts w:ascii="Arial" w:hAnsi="Arial" w:cs="Arial"/>
          <w:b/>
          <w:sz w:val="22"/>
          <w:szCs w:val="22"/>
        </w:rPr>
      </w:pPr>
      <w:r w:rsidRPr="00A801EA">
        <w:rPr>
          <w:rFonts w:ascii="Arial" w:hAnsi="Arial" w:cs="Arial"/>
          <w:b/>
          <w:sz w:val="22"/>
          <w:szCs w:val="22"/>
        </w:rPr>
        <w:t xml:space="preserve">Prognose: </w:t>
      </w:r>
      <w:r w:rsidR="00126C5F" w:rsidRPr="00A801EA">
        <w:rPr>
          <w:rFonts w:ascii="Arial" w:hAnsi="Arial" w:cs="Arial"/>
          <w:b/>
          <w:sz w:val="22"/>
          <w:szCs w:val="22"/>
        </w:rPr>
        <w:t>Kurz- und mittelfristige Steigerung von Umsatz und EBIT</w:t>
      </w:r>
      <w:r w:rsidRPr="00A801EA">
        <w:rPr>
          <w:rFonts w:ascii="Arial" w:hAnsi="Arial" w:cs="Arial"/>
          <w:b/>
          <w:sz w:val="22"/>
          <w:szCs w:val="22"/>
        </w:rPr>
        <w:t xml:space="preserve"> </w:t>
      </w:r>
    </w:p>
    <w:p w:rsidR="001B6DC2" w:rsidRPr="00A801EA" w:rsidRDefault="00A92505" w:rsidP="00F45817">
      <w:pPr>
        <w:pStyle w:val="MMFlietext"/>
      </w:pPr>
      <w:r w:rsidRPr="00A801EA">
        <w:t xml:space="preserve">Für das laufende Jahr erwartet Leoni einen Umsatz von </w:t>
      </w:r>
      <w:r w:rsidR="00751969" w:rsidRPr="00A801EA">
        <w:t xml:space="preserve">rund </w:t>
      </w:r>
      <w:r w:rsidRPr="00A801EA">
        <w:t>4,</w:t>
      </w:r>
      <w:r w:rsidR="00126C5F" w:rsidRPr="00A801EA">
        <w:t>6</w:t>
      </w:r>
      <w:r w:rsidRPr="00A801EA">
        <w:t xml:space="preserve"> Mrd. Euro</w:t>
      </w:r>
      <w:r w:rsidR="00126C5F" w:rsidRPr="00A801EA">
        <w:t xml:space="preserve">, was einem Zuwachs von </w:t>
      </w:r>
      <w:r w:rsidR="00A00B82">
        <w:t xml:space="preserve">ca. 5 </w:t>
      </w:r>
      <w:r w:rsidR="00126C5F" w:rsidRPr="00A801EA">
        <w:t>Prozent entspricht</w:t>
      </w:r>
      <w:r w:rsidR="00751969" w:rsidRPr="00A801EA">
        <w:t xml:space="preserve">, sowie ein deutlich </w:t>
      </w:r>
      <w:r w:rsidR="00FD0E7A">
        <w:t>verbessertes</w:t>
      </w:r>
      <w:r w:rsidR="00FD0E7A" w:rsidRPr="00A801EA">
        <w:t xml:space="preserve"> </w:t>
      </w:r>
      <w:r w:rsidR="00751969" w:rsidRPr="00A801EA">
        <w:t>Konzern-EBIT von 180 bis 200 Mio</w:t>
      </w:r>
      <w:r w:rsidR="00751969" w:rsidRPr="00751969">
        <w:t xml:space="preserve">. </w:t>
      </w:r>
      <w:r w:rsidR="00751969">
        <w:t xml:space="preserve">Euro. Positiv auf den Ertrag auswirken werden sich neben </w:t>
      </w:r>
      <w:r w:rsidR="00751969" w:rsidRPr="00751969">
        <w:t>zusätzlichen Deckungsbeiträgen aus dem Mehrumsatz</w:t>
      </w:r>
      <w:r w:rsidR="00751969">
        <w:t xml:space="preserve"> zum einen </w:t>
      </w:r>
      <w:r w:rsidR="00751969" w:rsidRPr="00751969">
        <w:t>de</w:t>
      </w:r>
      <w:r w:rsidR="00751969">
        <w:t>r</w:t>
      </w:r>
      <w:r w:rsidR="00751969" w:rsidRPr="00751969">
        <w:t xml:space="preserve"> Wegfall der Belastung aus dem Betrugsfall von rund 40 Mio.</w:t>
      </w:r>
      <w:r w:rsidR="00751969">
        <w:t xml:space="preserve"> Euro und die von 31,4 Mio. Euro </w:t>
      </w:r>
      <w:r w:rsidR="00751969" w:rsidRPr="00751969">
        <w:t xml:space="preserve">auf ein normales Maß </w:t>
      </w:r>
      <w:r w:rsidR="00751969">
        <w:t xml:space="preserve">zurückgehenden Aufwendungen für </w:t>
      </w:r>
      <w:r w:rsidR="00751969" w:rsidRPr="00751969">
        <w:t>Restrukturierung</w:t>
      </w:r>
      <w:r w:rsidR="00751969">
        <w:t xml:space="preserve">en. Dazu </w:t>
      </w:r>
      <w:r w:rsidR="00A52A32">
        <w:t xml:space="preserve">tragen auch </w:t>
      </w:r>
      <w:r w:rsidR="00751969" w:rsidRPr="00751969">
        <w:t xml:space="preserve">Verbesserungen im Unternehmensbereich </w:t>
      </w:r>
      <w:proofErr w:type="spellStart"/>
      <w:r w:rsidR="00751969" w:rsidRPr="00751969">
        <w:t>Wiring</w:t>
      </w:r>
      <w:proofErr w:type="spellEnd"/>
      <w:r w:rsidR="00751969" w:rsidRPr="00751969">
        <w:t xml:space="preserve"> Systems</w:t>
      </w:r>
      <w:r w:rsidR="00A51DDE">
        <w:t xml:space="preserve"> aus niedrigeren Overhead-Kosten sowie </w:t>
      </w:r>
      <w:r w:rsidR="00751969" w:rsidRPr="00751969">
        <w:t xml:space="preserve">positive Sondereffekte durch den Verkauf der Business Group </w:t>
      </w:r>
      <w:proofErr w:type="spellStart"/>
      <w:r w:rsidR="00751969" w:rsidRPr="00751969">
        <w:t>Electrical</w:t>
      </w:r>
      <w:proofErr w:type="spellEnd"/>
      <w:r w:rsidR="00751969" w:rsidRPr="00751969">
        <w:t xml:space="preserve"> Appliance </w:t>
      </w:r>
      <w:proofErr w:type="spellStart"/>
      <w:r w:rsidR="00751969" w:rsidRPr="00751969">
        <w:t>Assemblies</w:t>
      </w:r>
      <w:proofErr w:type="spellEnd"/>
      <w:r w:rsidR="00A51DDE">
        <w:t xml:space="preserve"> und </w:t>
      </w:r>
      <w:r w:rsidR="00751969" w:rsidRPr="00751969">
        <w:t>Versicherungsentschädigungen in Verbindung mit dem Betrugsfall</w:t>
      </w:r>
      <w:r w:rsidR="00A52A32">
        <w:t xml:space="preserve"> bei</w:t>
      </w:r>
      <w:r w:rsidR="00A51DDE">
        <w:t xml:space="preserve">. </w:t>
      </w:r>
      <w:r w:rsidR="00AD7591">
        <w:t xml:space="preserve">Beim Free Cashflow </w:t>
      </w:r>
      <w:bookmarkStart w:id="0" w:name="_GoBack"/>
      <w:bookmarkEnd w:id="0"/>
      <w:r w:rsidR="00AD7591">
        <w:t xml:space="preserve">erwartet das Unternehmen trotz höherer Investitionen von </w:t>
      </w:r>
      <w:r w:rsidR="00AD7591" w:rsidRPr="00A801EA">
        <w:t xml:space="preserve">ca. 250 Mio. Euro einen positiven Wert. </w:t>
      </w:r>
    </w:p>
    <w:p w:rsidR="00936411" w:rsidRPr="0001259D" w:rsidRDefault="001B6DC2" w:rsidP="00F45817">
      <w:pPr>
        <w:pStyle w:val="MMFlietext"/>
        <w:rPr>
          <w:highlight w:val="yellow"/>
        </w:rPr>
      </w:pPr>
      <w:r w:rsidRPr="00A801EA">
        <w:t xml:space="preserve">Im laufenden Jubiläumsjahr, 100 Jahre nach der Gründung, </w:t>
      </w:r>
      <w:r w:rsidR="00A268EB">
        <w:t xml:space="preserve">wird der Leoni-Konzern seine Strategie weiterentwickeln und konsequent an neuen technologischen und gesellschaftlichen Trends ausrichten. </w:t>
      </w:r>
      <w:r w:rsidRPr="00A801EA">
        <w:t xml:space="preserve"> </w:t>
      </w:r>
      <w:r w:rsidR="00AD7591" w:rsidRPr="00A801EA">
        <w:t>Mittelfristig</w:t>
      </w:r>
      <w:r w:rsidR="00AD7591">
        <w:t xml:space="preserve"> plant </w:t>
      </w:r>
      <w:r w:rsidR="00A268EB">
        <w:t>das Unternehmen</w:t>
      </w:r>
      <w:r>
        <w:t xml:space="preserve">, ein organisches Umsatzwachstum von 4 bis 5 Prozent </w:t>
      </w:r>
      <w:r w:rsidR="00A801EA">
        <w:t xml:space="preserve">pro Jahr </w:t>
      </w:r>
      <w:r>
        <w:t xml:space="preserve">zu erzielen. 2019 soll die EBIT-Marge des Konzerns im </w:t>
      </w:r>
      <w:r w:rsidRPr="001B6DC2">
        <w:t>mittlere</w:t>
      </w:r>
      <w:r>
        <w:t>n</w:t>
      </w:r>
      <w:r w:rsidRPr="001B6DC2">
        <w:t xml:space="preserve"> einstellige</w:t>
      </w:r>
      <w:r>
        <w:t>n</w:t>
      </w:r>
      <w:r w:rsidRPr="001B6DC2">
        <w:t xml:space="preserve"> Prozent-Bereich </w:t>
      </w:r>
      <w:r>
        <w:t xml:space="preserve">liegen und der Free Cashflow </w:t>
      </w:r>
      <w:r w:rsidR="00A00B82">
        <w:t>(</w:t>
      </w:r>
      <w:r>
        <w:t>nach Dividendenzahlung</w:t>
      </w:r>
      <w:r w:rsidR="00A00B82">
        <w:t>)</w:t>
      </w:r>
      <w:r>
        <w:t xml:space="preserve"> einen positiven Wert aufweisen. </w:t>
      </w:r>
    </w:p>
    <w:p w:rsidR="00A92505" w:rsidRPr="00395815" w:rsidRDefault="00A92505" w:rsidP="00F45817">
      <w:pPr>
        <w:pStyle w:val="MMFlietext"/>
        <w:rPr>
          <w:i/>
        </w:rPr>
      </w:pPr>
      <w:r w:rsidRPr="00395815">
        <w:rPr>
          <w:i/>
        </w:rPr>
        <w:t>(</w:t>
      </w:r>
      <w:r w:rsidR="00395815" w:rsidRPr="00395815">
        <w:rPr>
          <w:i/>
        </w:rPr>
        <w:t>7.915</w:t>
      </w:r>
      <w:r w:rsidRPr="00395815">
        <w:rPr>
          <w:i/>
        </w:rPr>
        <w:t xml:space="preserve"> Anschläge inkl. Leerzeichen)</w:t>
      </w:r>
    </w:p>
    <w:p w:rsidR="00A801EA" w:rsidRDefault="00A801EA">
      <w:pPr>
        <w:rPr>
          <w:rFonts w:ascii="Arial" w:hAnsi="Arial" w:cs="Arial"/>
          <w:b/>
          <w:color w:val="112E6B"/>
          <w:sz w:val="20"/>
          <w:szCs w:val="20"/>
        </w:rPr>
      </w:pPr>
      <w:r>
        <w:br w:type="page"/>
      </w:r>
    </w:p>
    <w:p w:rsidR="00A92505" w:rsidRDefault="00A92505" w:rsidP="00A92505">
      <w:pPr>
        <w:pStyle w:val="MMKurzprofilberschrift"/>
      </w:pPr>
      <w:r w:rsidRPr="006678E0">
        <w:lastRenderedPageBreak/>
        <w:t>Leoni-Konzernzahlen im Überblick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76"/>
        <w:gridCol w:w="1276"/>
        <w:gridCol w:w="1276"/>
      </w:tblGrid>
      <w:tr w:rsidR="00A92505" w:rsidRPr="00DF6351" w:rsidTr="00425EFD">
        <w:tc>
          <w:tcPr>
            <w:tcW w:w="4077" w:type="dxa"/>
          </w:tcPr>
          <w:p w:rsidR="00A92505" w:rsidRPr="00DF6351" w:rsidRDefault="00A92505" w:rsidP="00425EFD">
            <w:pPr>
              <w:tabs>
                <w:tab w:val="left" w:pos="8505"/>
              </w:tabs>
              <w:rPr>
                <w:rFonts w:ascii="Arial" w:hAnsi="Arial" w:cs="Arial"/>
                <w:b/>
                <w:sz w:val="18"/>
                <w:szCs w:val="18"/>
              </w:rPr>
            </w:pPr>
            <w:r w:rsidRPr="00DF6351">
              <w:rPr>
                <w:rFonts w:ascii="Arial" w:hAnsi="Arial" w:cs="Arial"/>
                <w:b/>
                <w:sz w:val="18"/>
                <w:szCs w:val="18"/>
              </w:rPr>
              <w:t>Kennzahlen Konzern</w:t>
            </w:r>
          </w:p>
        </w:tc>
        <w:tc>
          <w:tcPr>
            <w:tcW w:w="1276" w:type="dxa"/>
          </w:tcPr>
          <w:p w:rsidR="00A92505" w:rsidRPr="00BE78C2" w:rsidRDefault="00A92505" w:rsidP="00710F2A">
            <w:pPr>
              <w:tabs>
                <w:tab w:val="left" w:pos="8505"/>
              </w:tabs>
              <w:rPr>
                <w:rFonts w:ascii="Arial" w:hAnsi="Arial" w:cs="Arial"/>
                <w:b/>
                <w:sz w:val="18"/>
                <w:szCs w:val="18"/>
              </w:rPr>
            </w:pPr>
            <w:r w:rsidRPr="00BE78C2">
              <w:rPr>
                <w:rFonts w:ascii="Arial" w:hAnsi="Arial" w:cs="Arial"/>
                <w:b/>
                <w:sz w:val="18"/>
                <w:szCs w:val="18"/>
              </w:rPr>
              <w:t>201</w:t>
            </w:r>
            <w:r w:rsidR="00710F2A">
              <w:rPr>
                <w:rFonts w:ascii="Arial" w:hAnsi="Arial" w:cs="Arial"/>
                <w:b/>
                <w:sz w:val="18"/>
                <w:szCs w:val="18"/>
              </w:rPr>
              <w:t>6</w:t>
            </w:r>
          </w:p>
        </w:tc>
        <w:tc>
          <w:tcPr>
            <w:tcW w:w="1276" w:type="dxa"/>
          </w:tcPr>
          <w:p w:rsidR="00A92505" w:rsidRPr="00BE78C2" w:rsidRDefault="00A92505" w:rsidP="00710F2A">
            <w:pPr>
              <w:tabs>
                <w:tab w:val="left" w:pos="8505"/>
              </w:tabs>
              <w:rPr>
                <w:rFonts w:ascii="Arial" w:hAnsi="Arial" w:cs="Arial"/>
                <w:b/>
                <w:sz w:val="18"/>
                <w:szCs w:val="18"/>
              </w:rPr>
            </w:pPr>
            <w:r w:rsidRPr="00BE78C2">
              <w:rPr>
                <w:rFonts w:ascii="Arial" w:hAnsi="Arial" w:cs="Arial"/>
                <w:b/>
                <w:sz w:val="18"/>
                <w:szCs w:val="18"/>
              </w:rPr>
              <w:t>201</w:t>
            </w:r>
            <w:r w:rsidR="00710F2A">
              <w:rPr>
                <w:rFonts w:ascii="Arial" w:hAnsi="Arial" w:cs="Arial"/>
                <w:b/>
                <w:sz w:val="18"/>
                <w:szCs w:val="18"/>
              </w:rPr>
              <w:t>5</w:t>
            </w:r>
          </w:p>
        </w:tc>
        <w:tc>
          <w:tcPr>
            <w:tcW w:w="1276" w:type="dxa"/>
          </w:tcPr>
          <w:p w:rsidR="00A92505" w:rsidRPr="00BE78C2" w:rsidRDefault="00A92505" w:rsidP="00425EFD">
            <w:pPr>
              <w:tabs>
                <w:tab w:val="left" w:pos="8505"/>
              </w:tabs>
              <w:ind w:left="-13" w:right="-108"/>
              <w:rPr>
                <w:rFonts w:ascii="Arial" w:hAnsi="Arial" w:cs="Arial"/>
                <w:b/>
                <w:sz w:val="18"/>
                <w:szCs w:val="18"/>
              </w:rPr>
            </w:pPr>
            <w:r w:rsidRPr="00BE78C2">
              <w:rPr>
                <w:rFonts w:ascii="Arial" w:hAnsi="Arial" w:cs="Arial"/>
                <w:b/>
                <w:sz w:val="18"/>
                <w:szCs w:val="18"/>
              </w:rPr>
              <w:t>Veränderung</w:t>
            </w:r>
          </w:p>
        </w:tc>
      </w:tr>
      <w:tr w:rsidR="00710F2A" w:rsidRPr="00DF6351" w:rsidTr="00425EFD">
        <w:trPr>
          <w:trHeight w:val="284"/>
        </w:trPr>
        <w:tc>
          <w:tcPr>
            <w:tcW w:w="4077" w:type="dxa"/>
            <w:vAlign w:val="center"/>
          </w:tcPr>
          <w:p w:rsidR="00710F2A" w:rsidRPr="00DF6351" w:rsidRDefault="00710F2A" w:rsidP="00425EFD">
            <w:pPr>
              <w:tabs>
                <w:tab w:val="left" w:pos="8505"/>
              </w:tabs>
              <w:rPr>
                <w:rFonts w:ascii="Arial" w:hAnsi="Arial" w:cs="Arial"/>
                <w:sz w:val="18"/>
                <w:szCs w:val="18"/>
              </w:rPr>
            </w:pPr>
            <w:r>
              <w:rPr>
                <w:rFonts w:ascii="Arial" w:hAnsi="Arial" w:cs="Arial"/>
                <w:sz w:val="18"/>
                <w:szCs w:val="18"/>
              </w:rPr>
              <w:t>U</w:t>
            </w:r>
            <w:r w:rsidRPr="00DF6351">
              <w:rPr>
                <w:rFonts w:ascii="Arial" w:hAnsi="Arial" w:cs="Arial"/>
                <w:sz w:val="18"/>
                <w:szCs w:val="18"/>
              </w:rPr>
              <w:t>msatz</w:t>
            </w:r>
            <w:r>
              <w:rPr>
                <w:rFonts w:ascii="Arial" w:hAnsi="Arial" w:cs="Arial"/>
                <w:sz w:val="18"/>
                <w:szCs w:val="18"/>
              </w:rPr>
              <w:t>erlöse</w:t>
            </w:r>
            <w:r w:rsidRPr="00DF6351">
              <w:rPr>
                <w:rFonts w:ascii="Arial" w:hAnsi="Arial" w:cs="Arial"/>
                <w:sz w:val="18"/>
                <w:szCs w:val="18"/>
              </w:rPr>
              <w:t xml:space="preserve"> [in Mio</w:t>
            </w:r>
            <w:r>
              <w:rPr>
                <w:rFonts w:ascii="Arial" w:hAnsi="Arial" w:cs="Arial"/>
                <w:sz w:val="18"/>
                <w:szCs w:val="18"/>
              </w:rPr>
              <w:t>.</w:t>
            </w:r>
            <w:r w:rsidRPr="00DF6351">
              <w:rPr>
                <w:rFonts w:ascii="Arial" w:hAnsi="Arial" w:cs="Arial"/>
                <w:sz w:val="18"/>
                <w:szCs w:val="18"/>
              </w:rPr>
              <w:t xml:space="preserve"> €]</w:t>
            </w:r>
          </w:p>
        </w:tc>
        <w:tc>
          <w:tcPr>
            <w:tcW w:w="1276" w:type="dxa"/>
            <w:vAlign w:val="center"/>
          </w:tcPr>
          <w:p w:rsidR="00710F2A" w:rsidRPr="007E6562" w:rsidRDefault="00710F2A" w:rsidP="007E6562">
            <w:pPr>
              <w:tabs>
                <w:tab w:val="left" w:pos="8505"/>
              </w:tabs>
              <w:rPr>
                <w:rFonts w:ascii="Arial" w:hAnsi="Arial" w:cs="Arial"/>
                <w:sz w:val="18"/>
                <w:szCs w:val="18"/>
              </w:rPr>
            </w:pPr>
            <w:r w:rsidRPr="007E6562">
              <w:rPr>
                <w:rFonts w:ascii="Arial" w:hAnsi="Arial" w:cs="Arial"/>
                <w:sz w:val="18"/>
                <w:szCs w:val="18"/>
              </w:rPr>
              <w:t>4.</w:t>
            </w:r>
            <w:r w:rsidR="007E6562" w:rsidRPr="007E6562">
              <w:rPr>
                <w:rFonts w:ascii="Arial" w:hAnsi="Arial" w:cs="Arial"/>
                <w:sz w:val="18"/>
                <w:szCs w:val="18"/>
              </w:rPr>
              <w:t>431,3</w:t>
            </w:r>
          </w:p>
        </w:tc>
        <w:tc>
          <w:tcPr>
            <w:tcW w:w="1276" w:type="dxa"/>
            <w:vAlign w:val="center"/>
          </w:tcPr>
          <w:p w:rsidR="00710F2A" w:rsidRPr="007D4BEC" w:rsidRDefault="00710F2A" w:rsidP="00425EFD">
            <w:pPr>
              <w:tabs>
                <w:tab w:val="left" w:pos="8505"/>
              </w:tabs>
              <w:rPr>
                <w:rFonts w:ascii="Arial" w:hAnsi="Arial" w:cs="Arial"/>
                <w:sz w:val="18"/>
                <w:szCs w:val="18"/>
              </w:rPr>
            </w:pPr>
            <w:r w:rsidRPr="007D4BEC">
              <w:rPr>
                <w:rFonts w:ascii="Arial" w:hAnsi="Arial" w:cs="Arial"/>
                <w:sz w:val="18"/>
                <w:szCs w:val="18"/>
              </w:rPr>
              <w:t>4.</w:t>
            </w:r>
            <w:r>
              <w:rPr>
                <w:rFonts w:ascii="Arial" w:hAnsi="Arial" w:cs="Arial"/>
                <w:sz w:val="18"/>
                <w:szCs w:val="18"/>
              </w:rPr>
              <w:t>502</w:t>
            </w:r>
            <w:r w:rsidRPr="007D4BEC">
              <w:rPr>
                <w:rFonts w:ascii="Arial" w:hAnsi="Arial" w:cs="Arial"/>
                <w:sz w:val="18"/>
                <w:szCs w:val="18"/>
              </w:rPr>
              <w:t>,</w:t>
            </w:r>
            <w:r>
              <w:rPr>
                <w:rFonts w:ascii="Arial" w:hAnsi="Arial" w:cs="Arial"/>
                <w:sz w:val="18"/>
                <w:szCs w:val="18"/>
              </w:rPr>
              <w:t>9</w:t>
            </w:r>
          </w:p>
        </w:tc>
        <w:tc>
          <w:tcPr>
            <w:tcW w:w="1276" w:type="dxa"/>
            <w:vAlign w:val="center"/>
          </w:tcPr>
          <w:p w:rsidR="00710F2A" w:rsidRPr="00395815" w:rsidRDefault="007E6562" w:rsidP="00930134">
            <w:pPr>
              <w:tabs>
                <w:tab w:val="left" w:pos="8505"/>
              </w:tabs>
              <w:rPr>
                <w:rFonts w:ascii="Arial" w:hAnsi="Arial" w:cs="Arial"/>
                <w:sz w:val="18"/>
                <w:szCs w:val="18"/>
              </w:rPr>
            </w:pPr>
            <w:r w:rsidRPr="00395815">
              <w:rPr>
                <w:rFonts w:ascii="Arial" w:hAnsi="Arial" w:cs="Arial"/>
                <w:sz w:val="18"/>
                <w:szCs w:val="18"/>
              </w:rPr>
              <w:t xml:space="preserve">- </w:t>
            </w:r>
            <w:r w:rsidR="00930134" w:rsidRPr="00395815">
              <w:rPr>
                <w:rFonts w:ascii="Arial" w:hAnsi="Arial" w:cs="Arial"/>
                <w:sz w:val="18"/>
                <w:szCs w:val="18"/>
              </w:rPr>
              <w:t>1,6</w:t>
            </w:r>
            <w:r w:rsidR="00710F2A" w:rsidRPr="00395815">
              <w:rPr>
                <w:rFonts w:ascii="Arial" w:hAnsi="Arial" w:cs="Arial"/>
                <w:sz w:val="18"/>
                <w:szCs w:val="18"/>
              </w:rPr>
              <w:t xml:space="preserve"> %</w:t>
            </w:r>
          </w:p>
        </w:tc>
      </w:tr>
      <w:tr w:rsidR="00710F2A" w:rsidRPr="00DF6351" w:rsidTr="00425EFD">
        <w:trPr>
          <w:trHeight w:val="284"/>
        </w:trPr>
        <w:tc>
          <w:tcPr>
            <w:tcW w:w="4077" w:type="dxa"/>
            <w:vAlign w:val="center"/>
          </w:tcPr>
          <w:p w:rsidR="00710F2A" w:rsidRPr="00DF6351" w:rsidRDefault="00710F2A" w:rsidP="00425EFD">
            <w:pPr>
              <w:tabs>
                <w:tab w:val="left" w:pos="8505"/>
              </w:tabs>
              <w:rPr>
                <w:rFonts w:ascii="Arial" w:hAnsi="Arial" w:cs="Arial"/>
                <w:sz w:val="18"/>
                <w:szCs w:val="18"/>
              </w:rPr>
            </w:pPr>
            <w:r w:rsidRPr="00DF6351">
              <w:rPr>
                <w:rFonts w:ascii="Arial" w:hAnsi="Arial" w:cs="Arial"/>
                <w:sz w:val="18"/>
                <w:szCs w:val="18"/>
              </w:rPr>
              <w:t>EBIT [in Mio</w:t>
            </w:r>
            <w:r>
              <w:rPr>
                <w:rFonts w:ascii="Arial" w:hAnsi="Arial" w:cs="Arial"/>
                <w:sz w:val="18"/>
                <w:szCs w:val="18"/>
              </w:rPr>
              <w:t>.</w:t>
            </w:r>
            <w:r w:rsidRPr="00DF6351">
              <w:rPr>
                <w:rFonts w:ascii="Arial" w:hAnsi="Arial" w:cs="Arial"/>
                <w:sz w:val="18"/>
                <w:szCs w:val="18"/>
              </w:rPr>
              <w:t xml:space="preserve"> €]</w:t>
            </w:r>
          </w:p>
        </w:tc>
        <w:tc>
          <w:tcPr>
            <w:tcW w:w="1276" w:type="dxa"/>
            <w:vAlign w:val="center"/>
          </w:tcPr>
          <w:p w:rsidR="00710F2A" w:rsidRPr="007E6562" w:rsidRDefault="007E6562" w:rsidP="007E6562">
            <w:pPr>
              <w:tabs>
                <w:tab w:val="left" w:pos="8505"/>
              </w:tabs>
              <w:rPr>
                <w:rFonts w:ascii="Arial" w:hAnsi="Arial" w:cs="Arial"/>
                <w:sz w:val="18"/>
                <w:szCs w:val="18"/>
              </w:rPr>
            </w:pPr>
            <w:r w:rsidRPr="007E6562">
              <w:rPr>
                <w:rFonts w:ascii="Arial" w:hAnsi="Arial" w:cs="Arial"/>
                <w:sz w:val="18"/>
                <w:szCs w:val="18"/>
              </w:rPr>
              <w:t>78,1</w:t>
            </w:r>
          </w:p>
        </w:tc>
        <w:tc>
          <w:tcPr>
            <w:tcW w:w="1276" w:type="dxa"/>
            <w:vAlign w:val="center"/>
          </w:tcPr>
          <w:p w:rsidR="00710F2A" w:rsidRPr="007D4BEC" w:rsidRDefault="00710F2A" w:rsidP="00425EFD">
            <w:pPr>
              <w:tabs>
                <w:tab w:val="left" w:pos="8505"/>
              </w:tabs>
              <w:rPr>
                <w:rFonts w:ascii="Arial" w:hAnsi="Arial" w:cs="Arial"/>
                <w:sz w:val="18"/>
                <w:szCs w:val="18"/>
              </w:rPr>
            </w:pPr>
            <w:r w:rsidRPr="007D4BEC">
              <w:rPr>
                <w:rFonts w:ascii="Arial" w:hAnsi="Arial" w:cs="Arial"/>
                <w:sz w:val="18"/>
                <w:szCs w:val="18"/>
              </w:rPr>
              <w:t>1</w:t>
            </w:r>
            <w:r>
              <w:rPr>
                <w:rFonts w:ascii="Arial" w:hAnsi="Arial" w:cs="Arial"/>
                <w:sz w:val="18"/>
                <w:szCs w:val="18"/>
              </w:rPr>
              <w:t>51,3</w:t>
            </w:r>
          </w:p>
        </w:tc>
        <w:tc>
          <w:tcPr>
            <w:tcW w:w="1276" w:type="dxa"/>
            <w:vAlign w:val="center"/>
          </w:tcPr>
          <w:p w:rsidR="00710F2A" w:rsidRPr="00395815" w:rsidRDefault="00710F2A" w:rsidP="00930134">
            <w:pPr>
              <w:tabs>
                <w:tab w:val="left" w:pos="8505"/>
              </w:tabs>
              <w:rPr>
                <w:rFonts w:ascii="Arial" w:hAnsi="Arial" w:cs="Arial"/>
                <w:sz w:val="18"/>
                <w:szCs w:val="18"/>
              </w:rPr>
            </w:pPr>
            <w:r w:rsidRPr="00395815">
              <w:rPr>
                <w:rFonts w:ascii="Arial" w:hAnsi="Arial" w:cs="Arial"/>
                <w:sz w:val="18"/>
                <w:szCs w:val="18"/>
              </w:rPr>
              <w:t>-</w:t>
            </w:r>
            <w:r w:rsidR="007E6562" w:rsidRPr="00395815">
              <w:rPr>
                <w:rFonts w:ascii="Arial" w:hAnsi="Arial" w:cs="Arial"/>
                <w:sz w:val="18"/>
                <w:szCs w:val="18"/>
              </w:rPr>
              <w:t xml:space="preserve"> </w:t>
            </w:r>
            <w:r w:rsidR="00930134" w:rsidRPr="00395815">
              <w:rPr>
                <w:rFonts w:ascii="Arial" w:hAnsi="Arial" w:cs="Arial"/>
                <w:sz w:val="18"/>
                <w:szCs w:val="18"/>
              </w:rPr>
              <w:t>48,4</w:t>
            </w:r>
            <w:r w:rsidRPr="00395815">
              <w:rPr>
                <w:rFonts w:ascii="Arial" w:hAnsi="Arial" w:cs="Arial"/>
                <w:sz w:val="18"/>
                <w:szCs w:val="18"/>
              </w:rPr>
              <w:t xml:space="preserve"> %</w:t>
            </w:r>
          </w:p>
        </w:tc>
      </w:tr>
      <w:tr w:rsidR="00710F2A" w:rsidRPr="00DF6351" w:rsidTr="00425EFD">
        <w:trPr>
          <w:trHeight w:val="284"/>
        </w:trPr>
        <w:tc>
          <w:tcPr>
            <w:tcW w:w="4077" w:type="dxa"/>
            <w:vAlign w:val="center"/>
          </w:tcPr>
          <w:p w:rsidR="00710F2A" w:rsidRPr="009D7F99" w:rsidRDefault="00710F2A" w:rsidP="00425EFD">
            <w:pPr>
              <w:tabs>
                <w:tab w:val="left" w:pos="8505"/>
              </w:tabs>
              <w:rPr>
                <w:rFonts w:ascii="Arial" w:hAnsi="Arial" w:cs="Arial"/>
                <w:sz w:val="18"/>
                <w:szCs w:val="18"/>
              </w:rPr>
            </w:pPr>
            <w:r w:rsidRPr="009D7F99">
              <w:rPr>
                <w:rFonts w:ascii="Arial" w:hAnsi="Arial" w:cs="Arial"/>
                <w:sz w:val="18"/>
                <w:szCs w:val="18"/>
              </w:rPr>
              <w:t xml:space="preserve">Bereinigtes EBIT </w:t>
            </w:r>
            <w:r w:rsidRPr="009D7F99">
              <w:rPr>
                <w:rFonts w:ascii="Arial" w:hAnsi="Arial" w:cs="Arial"/>
                <w:sz w:val="18"/>
                <w:szCs w:val="18"/>
                <w:vertAlign w:val="superscript"/>
              </w:rPr>
              <w:t>(1)</w:t>
            </w:r>
            <w:r w:rsidRPr="009D7F99">
              <w:rPr>
                <w:rFonts w:ascii="Arial" w:hAnsi="Arial" w:cs="Arial"/>
                <w:sz w:val="18"/>
                <w:szCs w:val="18"/>
              </w:rPr>
              <w:t xml:space="preserve"> [in Mio. €]</w:t>
            </w:r>
          </w:p>
        </w:tc>
        <w:tc>
          <w:tcPr>
            <w:tcW w:w="1276" w:type="dxa"/>
            <w:vAlign w:val="center"/>
          </w:tcPr>
          <w:p w:rsidR="00710F2A" w:rsidRPr="007E6562" w:rsidRDefault="00710F2A" w:rsidP="007E6562">
            <w:pPr>
              <w:tabs>
                <w:tab w:val="left" w:pos="8505"/>
              </w:tabs>
              <w:rPr>
                <w:rFonts w:ascii="Arial" w:hAnsi="Arial" w:cs="Arial"/>
                <w:sz w:val="18"/>
                <w:szCs w:val="18"/>
              </w:rPr>
            </w:pPr>
            <w:r w:rsidRPr="007E6562">
              <w:rPr>
                <w:rFonts w:ascii="Arial" w:hAnsi="Arial" w:cs="Arial"/>
                <w:sz w:val="18"/>
                <w:szCs w:val="18"/>
              </w:rPr>
              <w:t>16</w:t>
            </w:r>
            <w:r w:rsidR="007E6562" w:rsidRPr="007E6562">
              <w:rPr>
                <w:rFonts w:ascii="Arial" w:hAnsi="Arial" w:cs="Arial"/>
                <w:sz w:val="18"/>
                <w:szCs w:val="18"/>
              </w:rPr>
              <w:t>0</w:t>
            </w:r>
            <w:r w:rsidRPr="007E6562">
              <w:rPr>
                <w:rFonts w:ascii="Arial" w:hAnsi="Arial" w:cs="Arial"/>
                <w:sz w:val="18"/>
                <w:szCs w:val="18"/>
              </w:rPr>
              <w:t>,</w:t>
            </w:r>
            <w:r w:rsidR="007E6562" w:rsidRPr="007E6562">
              <w:rPr>
                <w:rFonts w:ascii="Arial" w:hAnsi="Arial" w:cs="Arial"/>
                <w:sz w:val="18"/>
                <w:szCs w:val="18"/>
              </w:rPr>
              <w:t>2</w:t>
            </w:r>
          </w:p>
        </w:tc>
        <w:tc>
          <w:tcPr>
            <w:tcW w:w="1276" w:type="dxa"/>
            <w:vAlign w:val="center"/>
          </w:tcPr>
          <w:p w:rsidR="00710F2A" w:rsidRPr="009D7F99" w:rsidRDefault="00710F2A" w:rsidP="00747BA4">
            <w:pPr>
              <w:tabs>
                <w:tab w:val="left" w:pos="8505"/>
              </w:tabs>
              <w:rPr>
                <w:rFonts w:ascii="Arial" w:hAnsi="Arial" w:cs="Arial"/>
                <w:sz w:val="18"/>
                <w:szCs w:val="18"/>
              </w:rPr>
            </w:pPr>
            <w:r w:rsidRPr="00747BA4">
              <w:rPr>
                <w:rFonts w:ascii="Arial" w:hAnsi="Arial" w:cs="Arial"/>
                <w:sz w:val="18"/>
                <w:szCs w:val="18"/>
              </w:rPr>
              <w:t>14</w:t>
            </w:r>
            <w:r w:rsidR="00747BA4" w:rsidRPr="00747BA4">
              <w:rPr>
                <w:rFonts w:ascii="Arial" w:hAnsi="Arial" w:cs="Arial"/>
                <w:sz w:val="18"/>
                <w:szCs w:val="18"/>
              </w:rPr>
              <w:t>3</w:t>
            </w:r>
            <w:r w:rsidRPr="00747BA4">
              <w:rPr>
                <w:rFonts w:ascii="Arial" w:hAnsi="Arial" w:cs="Arial"/>
                <w:sz w:val="18"/>
                <w:szCs w:val="18"/>
              </w:rPr>
              <w:t>,</w:t>
            </w:r>
            <w:r w:rsidR="00747BA4" w:rsidRPr="00747BA4">
              <w:rPr>
                <w:rFonts w:ascii="Arial" w:hAnsi="Arial" w:cs="Arial"/>
                <w:sz w:val="18"/>
                <w:szCs w:val="18"/>
              </w:rPr>
              <w:t>6</w:t>
            </w:r>
          </w:p>
        </w:tc>
        <w:tc>
          <w:tcPr>
            <w:tcW w:w="1276" w:type="dxa"/>
            <w:vAlign w:val="center"/>
          </w:tcPr>
          <w:p w:rsidR="00710F2A" w:rsidRPr="00395815" w:rsidRDefault="007E6562" w:rsidP="00395815">
            <w:pPr>
              <w:tabs>
                <w:tab w:val="left" w:pos="8505"/>
              </w:tabs>
              <w:rPr>
                <w:rFonts w:ascii="Arial" w:hAnsi="Arial" w:cs="Arial"/>
                <w:sz w:val="18"/>
                <w:szCs w:val="18"/>
              </w:rPr>
            </w:pPr>
            <w:r w:rsidRPr="00395815">
              <w:rPr>
                <w:rFonts w:ascii="Arial" w:hAnsi="Arial" w:cs="Arial"/>
                <w:sz w:val="18"/>
                <w:szCs w:val="18"/>
              </w:rPr>
              <w:t xml:space="preserve">+ </w:t>
            </w:r>
            <w:r w:rsidR="00930134" w:rsidRPr="00395815">
              <w:rPr>
                <w:rFonts w:ascii="Arial" w:hAnsi="Arial" w:cs="Arial"/>
                <w:sz w:val="18"/>
                <w:szCs w:val="18"/>
              </w:rPr>
              <w:t>11,6</w:t>
            </w:r>
            <w:r w:rsidR="00710F2A" w:rsidRPr="00395815">
              <w:rPr>
                <w:rFonts w:ascii="Arial" w:hAnsi="Arial" w:cs="Arial"/>
                <w:sz w:val="18"/>
                <w:szCs w:val="18"/>
              </w:rPr>
              <w:t xml:space="preserve"> %</w:t>
            </w:r>
          </w:p>
        </w:tc>
      </w:tr>
      <w:tr w:rsidR="00710F2A" w:rsidRPr="00DF6351" w:rsidTr="00425EFD">
        <w:trPr>
          <w:trHeight w:val="284"/>
        </w:trPr>
        <w:tc>
          <w:tcPr>
            <w:tcW w:w="4077" w:type="dxa"/>
            <w:vAlign w:val="center"/>
          </w:tcPr>
          <w:p w:rsidR="00710F2A" w:rsidRPr="00DF6351" w:rsidRDefault="00710F2A" w:rsidP="00425EFD">
            <w:pPr>
              <w:tabs>
                <w:tab w:val="left" w:pos="8505"/>
              </w:tabs>
              <w:rPr>
                <w:rFonts w:ascii="Arial" w:hAnsi="Arial" w:cs="Arial"/>
                <w:sz w:val="18"/>
                <w:szCs w:val="18"/>
              </w:rPr>
            </w:pPr>
            <w:r w:rsidRPr="00DF6351">
              <w:rPr>
                <w:rFonts w:ascii="Arial" w:hAnsi="Arial" w:cs="Arial"/>
                <w:sz w:val="18"/>
                <w:szCs w:val="18"/>
              </w:rPr>
              <w:t>EBIT</w:t>
            </w:r>
            <w:r>
              <w:rPr>
                <w:rFonts w:ascii="Arial" w:hAnsi="Arial" w:cs="Arial"/>
                <w:sz w:val="18"/>
                <w:szCs w:val="18"/>
              </w:rPr>
              <w:t>-Marge</w:t>
            </w:r>
            <w:r w:rsidRPr="00DF6351">
              <w:rPr>
                <w:rFonts w:ascii="Arial" w:hAnsi="Arial" w:cs="Arial"/>
                <w:sz w:val="18"/>
                <w:szCs w:val="18"/>
              </w:rPr>
              <w:t xml:space="preserve"> [in %]</w:t>
            </w:r>
          </w:p>
        </w:tc>
        <w:tc>
          <w:tcPr>
            <w:tcW w:w="1276" w:type="dxa"/>
            <w:vAlign w:val="center"/>
          </w:tcPr>
          <w:p w:rsidR="00710F2A" w:rsidRPr="007E6562" w:rsidRDefault="007E6562" w:rsidP="007E6562">
            <w:pPr>
              <w:tabs>
                <w:tab w:val="left" w:pos="8505"/>
              </w:tabs>
              <w:rPr>
                <w:rFonts w:ascii="Arial" w:hAnsi="Arial" w:cs="Arial"/>
                <w:sz w:val="18"/>
                <w:szCs w:val="18"/>
              </w:rPr>
            </w:pPr>
            <w:r w:rsidRPr="007E6562">
              <w:rPr>
                <w:rFonts w:ascii="Arial" w:hAnsi="Arial" w:cs="Arial"/>
                <w:sz w:val="18"/>
                <w:szCs w:val="18"/>
              </w:rPr>
              <w:t>1,8</w:t>
            </w:r>
          </w:p>
        </w:tc>
        <w:tc>
          <w:tcPr>
            <w:tcW w:w="1276" w:type="dxa"/>
            <w:vAlign w:val="center"/>
          </w:tcPr>
          <w:p w:rsidR="00710F2A" w:rsidRPr="007D4BEC" w:rsidRDefault="00710F2A" w:rsidP="00425EFD">
            <w:pPr>
              <w:tabs>
                <w:tab w:val="left" w:pos="8505"/>
              </w:tabs>
              <w:rPr>
                <w:rFonts w:ascii="Arial" w:hAnsi="Arial" w:cs="Arial"/>
                <w:sz w:val="18"/>
                <w:szCs w:val="18"/>
              </w:rPr>
            </w:pPr>
            <w:r>
              <w:rPr>
                <w:rFonts w:ascii="Arial" w:hAnsi="Arial" w:cs="Arial"/>
                <w:sz w:val="18"/>
                <w:szCs w:val="18"/>
              </w:rPr>
              <w:t>3</w:t>
            </w:r>
            <w:r w:rsidRPr="007D4BEC">
              <w:rPr>
                <w:rFonts w:ascii="Arial" w:hAnsi="Arial" w:cs="Arial"/>
                <w:sz w:val="18"/>
                <w:szCs w:val="18"/>
              </w:rPr>
              <w:t>,4</w:t>
            </w:r>
          </w:p>
        </w:tc>
        <w:tc>
          <w:tcPr>
            <w:tcW w:w="1276" w:type="dxa"/>
            <w:vAlign w:val="center"/>
          </w:tcPr>
          <w:p w:rsidR="00710F2A" w:rsidRPr="00395815" w:rsidRDefault="00710F2A" w:rsidP="00425EFD">
            <w:pPr>
              <w:tabs>
                <w:tab w:val="left" w:pos="8505"/>
              </w:tabs>
              <w:rPr>
                <w:rFonts w:ascii="Arial" w:hAnsi="Arial" w:cs="Arial"/>
                <w:sz w:val="18"/>
                <w:szCs w:val="18"/>
              </w:rPr>
            </w:pPr>
            <w:r w:rsidRPr="00395815">
              <w:rPr>
                <w:rFonts w:ascii="Arial" w:hAnsi="Arial" w:cs="Arial"/>
                <w:sz w:val="18"/>
                <w:szCs w:val="18"/>
              </w:rPr>
              <w:t>--</w:t>
            </w:r>
          </w:p>
        </w:tc>
      </w:tr>
      <w:tr w:rsidR="00710F2A" w:rsidRPr="008920B0" w:rsidTr="00425EFD">
        <w:trPr>
          <w:trHeight w:val="284"/>
        </w:trPr>
        <w:tc>
          <w:tcPr>
            <w:tcW w:w="4077" w:type="dxa"/>
            <w:vAlign w:val="center"/>
          </w:tcPr>
          <w:p w:rsidR="00710F2A" w:rsidRPr="00DF6351" w:rsidRDefault="00710F2A" w:rsidP="00425EFD">
            <w:pPr>
              <w:tabs>
                <w:tab w:val="left" w:pos="8505"/>
              </w:tabs>
              <w:rPr>
                <w:rFonts w:ascii="Arial" w:hAnsi="Arial" w:cs="Arial"/>
                <w:sz w:val="18"/>
                <w:szCs w:val="18"/>
              </w:rPr>
            </w:pPr>
            <w:r>
              <w:rPr>
                <w:rFonts w:ascii="Arial" w:hAnsi="Arial" w:cs="Arial"/>
                <w:sz w:val="18"/>
                <w:szCs w:val="18"/>
              </w:rPr>
              <w:t>Konzern</w:t>
            </w:r>
            <w:r w:rsidRPr="00DF6351">
              <w:rPr>
                <w:rFonts w:ascii="Arial" w:hAnsi="Arial" w:cs="Arial"/>
                <w:sz w:val="18"/>
                <w:szCs w:val="18"/>
              </w:rPr>
              <w:t>überschuss</w:t>
            </w:r>
            <w:r>
              <w:rPr>
                <w:rFonts w:ascii="Arial" w:hAnsi="Arial" w:cs="Arial"/>
                <w:sz w:val="18"/>
                <w:szCs w:val="18"/>
              </w:rPr>
              <w:t xml:space="preserve"> </w:t>
            </w:r>
            <w:r w:rsidRPr="00DF6351">
              <w:rPr>
                <w:rFonts w:ascii="Arial" w:hAnsi="Arial" w:cs="Arial"/>
                <w:sz w:val="18"/>
                <w:szCs w:val="18"/>
              </w:rPr>
              <w:t>[in Mio</w:t>
            </w:r>
            <w:r>
              <w:rPr>
                <w:rFonts w:ascii="Arial" w:hAnsi="Arial" w:cs="Arial"/>
                <w:sz w:val="18"/>
                <w:szCs w:val="18"/>
              </w:rPr>
              <w:t>.</w:t>
            </w:r>
            <w:r w:rsidRPr="00DF6351">
              <w:rPr>
                <w:rFonts w:ascii="Arial" w:hAnsi="Arial" w:cs="Arial"/>
                <w:sz w:val="18"/>
                <w:szCs w:val="18"/>
              </w:rPr>
              <w:t xml:space="preserve"> €]</w:t>
            </w:r>
          </w:p>
        </w:tc>
        <w:tc>
          <w:tcPr>
            <w:tcW w:w="1276" w:type="dxa"/>
            <w:vAlign w:val="center"/>
          </w:tcPr>
          <w:p w:rsidR="00710F2A" w:rsidRPr="007E6562" w:rsidRDefault="007E6562" w:rsidP="007E6562">
            <w:pPr>
              <w:tabs>
                <w:tab w:val="left" w:pos="8505"/>
              </w:tabs>
              <w:rPr>
                <w:rFonts w:ascii="Arial" w:hAnsi="Arial" w:cs="Arial"/>
                <w:sz w:val="18"/>
                <w:szCs w:val="18"/>
              </w:rPr>
            </w:pPr>
            <w:r w:rsidRPr="007E6562">
              <w:rPr>
                <w:rFonts w:ascii="Arial" w:hAnsi="Arial" w:cs="Arial"/>
                <w:sz w:val="18"/>
                <w:szCs w:val="18"/>
              </w:rPr>
              <w:t>10,5</w:t>
            </w:r>
          </w:p>
        </w:tc>
        <w:tc>
          <w:tcPr>
            <w:tcW w:w="1276" w:type="dxa"/>
            <w:vAlign w:val="center"/>
          </w:tcPr>
          <w:p w:rsidR="00710F2A" w:rsidRPr="007D4BEC" w:rsidRDefault="00710F2A" w:rsidP="00425EFD">
            <w:pPr>
              <w:tabs>
                <w:tab w:val="left" w:pos="8505"/>
              </w:tabs>
              <w:rPr>
                <w:rFonts w:ascii="Arial" w:hAnsi="Arial" w:cs="Arial"/>
                <w:sz w:val="18"/>
                <w:szCs w:val="18"/>
              </w:rPr>
            </w:pPr>
            <w:r>
              <w:rPr>
                <w:rFonts w:ascii="Arial" w:hAnsi="Arial" w:cs="Arial"/>
                <w:sz w:val="18"/>
                <w:szCs w:val="18"/>
              </w:rPr>
              <w:t>77,3</w:t>
            </w:r>
          </w:p>
        </w:tc>
        <w:tc>
          <w:tcPr>
            <w:tcW w:w="1276" w:type="dxa"/>
            <w:vAlign w:val="center"/>
          </w:tcPr>
          <w:p w:rsidR="00710F2A" w:rsidRPr="00395815" w:rsidRDefault="007E6562" w:rsidP="00930134">
            <w:pPr>
              <w:tabs>
                <w:tab w:val="left" w:pos="8505"/>
              </w:tabs>
              <w:rPr>
                <w:rFonts w:ascii="Arial" w:hAnsi="Arial" w:cs="Arial"/>
                <w:sz w:val="18"/>
                <w:szCs w:val="18"/>
              </w:rPr>
            </w:pPr>
            <w:r w:rsidRPr="00395815">
              <w:rPr>
                <w:rFonts w:ascii="Arial" w:hAnsi="Arial" w:cs="Arial"/>
                <w:sz w:val="18"/>
                <w:szCs w:val="18"/>
                <w:lang w:val="en-GB"/>
              </w:rPr>
              <w:t xml:space="preserve">- </w:t>
            </w:r>
            <w:r w:rsidR="00930134" w:rsidRPr="00395815">
              <w:rPr>
                <w:rFonts w:ascii="Arial" w:hAnsi="Arial" w:cs="Arial"/>
                <w:sz w:val="18"/>
                <w:szCs w:val="18"/>
                <w:lang w:val="en-GB"/>
              </w:rPr>
              <w:t>86,3</w:t>
            </w:r>
            <w:r w:rsidRPr="00395815">
              <w:rPr>
                <w:rFonts w:ascii="Arial" w:hAnsi="Arial" w:cs="Arial"/>
                <w:sz w:val="18"/>
                <w:szCs w:val="18"/>
                <w:lang w:val="en-GB"/>
              </w:rPr>
              <w:t xml:space="preserve"> </w:t>
            </w:r>
            <w:r w:rsidR="00710F2A" w:rsidRPr="00395815">
              <w:rPr>
                <w:rFonts w:ascii="Arial" w:hAnsi="Arial" w:cs="Arial"/>
                <w:sz w:val="18"/>
                <w:szCs w:val="18"/>
                <w:lang w:val="en-GB"/>
              </w:rPr>
              <w:t>%</w:t>
            </w:r>
          </w:p>
        </w:tc>
      </w:tr>
      <w:tr w:rsidR="00710F2A" w:rsidRPr="00DF6351" w:rsidTr="00425EFD">
        <w:trPr>
          <w:trHeight w:val="284"/>
        </w:trPr>
        <w:tc>
          <w:tcPr>
            <w:tcW w:w="4077" w:type="dxa"/>
            <w:vAlign w:val="center"/>
          </w:tcPr>
          <w:p w:rsidR="00710F2A" w:rsidRPr="00DF6351" w:rsidRDefault="00710F2A" w:rsidP="007E6562">
            <w:pPr>
              <w:tabs>
                <w:tab w:val="left" w:pos="8505"/>
              </w:tabs>
              <w:rPr>
                <w:rFonts w:ascii="Arial" w:hAnsi="Arial" w:cs="Arial"/>
                <w:sz w:val="18"/>
                <w:szCs w:val="18"/>
              </w:rPr>
            </w:pPr>
            <w:r w:rsidRPr="00DF6351">
              <w:rPr>
                <w:rFonts w:ascii="Arial" w:hAnsi="Arial" w:cs="Arial"/>
                <w:sz w:val="18"/>
                <w:szCs w:val="18"/>
              </w:rPr>
              <w:t>Free Cashflow</w:t>
            </w:r>
            <w:r>
              <w:rPr>
                <w:rFonts w:ascii="Arial" w:hAnsi="Arial" w:cs="Arial"/>
                <w:sz w:val="18"/>
                <w:szCs w:val="18"/>
              </w:rPr>
              <w:t xml:space="preserve"> </w:t>
            </w:r>
            <w:r w:rsidRPr="00DF6351">
              <w:rPr>
                <w:rFonts w:ascii="Arial" w:hAnsi="Arial" w:cs="Arial"/>
                <w:sz w:val="18"/>
                <w:szCs w:val="18"/>
              </w:rPr>
              <w:t>[in Mio</w:t>
            </w:r>
            <w:r>
              <w:rPr>
                <w:rFonts w:ascii="Arial" w:hAnsi="Arial" w:cs="Arial"/>
                <w:sz w:val="18"/>
                <w:szCs w:val="18"/>
              </w:rPr>
              <w:t>.</w:t>
            </w:r>
            <w:r w:rsidRPr="00DF6351">
              <w:rPr>
                <w:rFonts w:ascii="Arial" w:hAnsi="Arial" w:cs="Arial"/>
                <w:sz w:val="18"/>
                <w:szCs w:val="18"/>
              </w:rPr>
              <w:t xml:space="preserve"> €]</w:t>
            </w:r>
          </w:p>
        </w:tc>
        <w:tc>
          <w:tcPr>
            <w:tcW w:w="1276" w:type="dxa"/>
            <w:vAlign w:val="center"/>
          </w:tcPr>
          <w:p w:rsidR="00710F2A" w:rsidRPr="007E6562" w:rsidRDefault="00710F2A" w:rsidP="007E6562">
            <w:pPr>
              <w:tabs>
                <w:tab w:val="left" w:pos="8505"/>
              </w:tabs>
              <w:rPr>
                <w:rFonts w:ascii="Arial" w:hAnsi="Arial" w:cs="Arial"/>
                <w:sz w:val="18"/>
                <w:szCs w:val="18"/>
              </w:rPr>
            </w:pPr>
            <w:r w:rsidRPr="007E6562">
              <w:rPr>
                <w:rFonts w:ascii="Arial" w:hAnsi="Arial" w:cs="Arial"/>
                <w:sz w:val="18"/>
                <w:szCs w:val="18"/>
              </w:rPr>
              <w:t>-</w:t>
            </w:r>
            <w:r w:rsidR="007E6562" w:rsidRPr="007E6562">
              <w:rPr>
                <w:rFonts w:ascii="Arial" w:hAnsi="Arial" w:cs="Arial"/>
                <w:sz w:val="18"/>
                <w:szCs w:val="18"/>
              </w:rPr>
              <w:t>40,3</w:t>
            </w:r>
          </w:p>
        </w:tc>
        <w:tc>
          <w:tcPr>
            <w:tcW w:w="1276" w:type="dxa"/>
            <w:vAlign w:val="center"/>
          </w:tcPr>
          <w:p w:rsidR="00710F2A" w:rsidRPr="007D4BEC" w:rsidRDefault="00710F2A" w:rsidP="00930134">
            <w:pPr>
              <w:tabs>
                <w:tab w:val="left" w:pos="8505"/>
              </w:tabs>
              <w:rPr>
                <w:rFonts w:ascii="Arial" w:hAnsi="Arial" w:cs="Arial"/>
                <w:sz w:val="18"/>
                <w:szCs w:val="18"/>
              </w:rPr>
            </w:pPr>
            <w:r w:rsidRPr="007D4BEC">
              <w:rPr>
                <w:rFonts w:ascii="Arial" w:hAnsi="Arial" w:cs="Arial"/>
                <w:sz w:val="18"/>
                <w:szCs w:val="18"/>
              </w:rPr>
              <w:t>-</w:t>
            </w:r>
            <w:r w:rsidR="00930134">
              <w:rPr>
                <w:rFonts w:ascii="Arial" w:hAnsi="Arial" w:cs="Arial"/>
                <w:sz w:val="18"/>
                <w:szCs w:val="18"/>
              </w:rPr>
              <w:t>5,2</w:t>
            </w:r>
          </w:p>
        </w:tc>
        <w:tc>
          <w:tcPr>
            <w:tcW w:w="1276" w:type="dxa"/>
            <w:vAlign w:val="center"/>
          </w:tcPr>
          <w:p w:rsidR="00710F2A" w:rsidRPr="00395815" w:rsidRDefault="007E6562" w:rsidP="00930134">
            <w:pPr>
              <w:tabs>
                <w:tab w:val="left" w:pos="8505"/>
              </w:tabs>
              <w:rPr>
                <w:rFonts w:ascii="Arial" w:hAnsi="Arial" w:cs="Arial"/>
                <w:sz w:val="18"/>
                <w:szCs w:val="18"/>
              </w:rPr>
            </w:pPr>
            <w:r w:rsidRPr="00395815">
              <w:rPr>
                <w:rFonts w:ascii="Arial" w:hAnsi="Arial" w:cs="Arial"/>
                <w:sz w:val="18"/>
                <w:szCs w:val="18"/>
              </w:rPr>
              <w:t xml:space="preserve">- </w:t>
            </w:r>
            <w:r w:rsidR="00930134" w:rsidRPr="00395815">
              <w:rPr>
                <w:rFonts w:ascii="Arial" w:hAnsi="Arial" w:cs="Arial"/>
                <w:sz w:val="18"/>
                <w:szCs w:val="18"/>
              </w:rPr>
              <w:t>675</w:t>
            </w:r>
            <w:r w:rsidR="00710F2A" w:rsidRPr="00395815">
              <w:rPr>
                <w:rFonts w:ascii="Arial" w:hAnsi="Arial" w:cs="Arial"/>
                <w:sz w:val="18"/>
                <w:szCs w:val="18"/>
              </w:rPr>
              <w:t xml:space="preserve"> %</w:t>
            </w:r>
          </w:p>
        </w:tc>
      </w:tr>
      <w:tr w:rsidR="00710F2A" w:rsidRPr="00DF6351" w:rsidTr="00425EFD">
        <w:trPr>
          <w:trHeight w:val="284"/>
        </w:trPr>
        <w:tc>
          <w:tcPr>
            <w:tcW w:w="4077" w:type="dxa"/>
            <w:vAlign w:val="center"/>
          </w:tcPr>
          <w:p w:rsidR="00710F2A" w:rsidRPr="00DF6351" w:rsidRDefault="00710F2A" w:rsidP="00425EFD">
            <w:pPr>
              <w:tabs>
                <w:tab w:val="left" w:pos="8505"/>
              </w:tabs>
              <w:rPr>
                <w:rFonts w:ascii="Arial" w:hAnsi="Arial" w:cs="Arial"/>
                <w:sz w:val="18"/>
                <w:szCs w:val="18"/>
                <w:lang w:val="en-GB"/>
              </w:rPr>
            </w:pPr>
            <w:r w:rsidRPr="005456EE">
              <w:rPr>
                <w:rFonts w:ascii="Arial" w:hAnsi="Arial" w:cs="Arial"/>
                <w:sz w:val="18"/>
                <w:szCs w:val="18"/>
                <w:lang w:val="en-US"/>
              </w:rPr>
              <w:t>Return on Cap</w:t>
            </w:r>
            <w:proofErr w:type="spellStart"/>
            <w:r w:rsidRPr="00DF6351">
              <w:rPr>
                <w:rFonts w:ascii="Arial" w:hAnsi="Arial" w:cs="Arial"/>
                <w:sz w:val="18"/>
                <w:szCs w:val="18"/>
                <w:lang w:val="en-GB"/>
              </w:rPr>
              <w:t>ital</w:t>
            </w:r>
            <w:proofErr w:type="spellEnd"/>
            <w:r w:rsidRPr="00DF6351">
              <w:rPr>
                <w:rFonts w:ascii="Arial" w:hAnsi="Arial" w:cs="Arial"/>
                <w:sz w:val="18"/>
                <w:szCs w:val="18"/>
                <w:lang w:val="en-GB"/>
              </w:rPr>
              <w:t xml:space="preserve"> Employed [in %]</w:t>
            </w:r>
          </w:p>
        </w:tc>
        <w:tc>
          <w:tcPr>
            <w:tcW w:w="1276" w:type="dxa"/>
            <w:vAlign w:val="center"/>
          </w:tcPr>
          <w:p w:rsidR="00710F2A" w:rsidRPr="007E6562" w:rsidRDefault="007E6562" w:rsidP="007E6562">
            <w:pPr>
              <w:tabs>
                <w:tab w:val="left" w:pos="8505"/>
              </w:tabs>
              <w:rPr>
                <w:rFonts w:ascii="Arial" w:hAnsi="Arial" w:cs="Arial"/>
                <w:sz w:val="18"/>
                <w:szCs w:val="18"/>
              </w:rPr>
            </w:pPr>
            <w:r w:rsidRPr="007E6562">
              <w:rPr>
                <w:rFonts w:ascii="Arial" w:hAnsi="Arial" w:cs="Arial"/>
                <w:sz w:val="18"/>
                <w:szCs w:val="18"/>
              </w:rPr>
              <w:t>5,1</w:t>
            </w:r>
          </w:p>
        </w:tc>
        <w:tc>
          <w:tcPr>
            <w:tcW w:w="1276" w:type="dxa"/>
            <w:vAlign w:val="center"/>
          </w:tcPr>
          <w:p w:rsidR="00710F2A" w:rsidRPr="007D4BEC" w:rsidRDefault="00710F2A" w:rsidP="00425EFD">
            <w:pPr>
              <w:tabs>
                <w:tab w:val="left" w:pos="8505"/>
              </w:tabs>
              <w:rPr>
                <w:rFonts w:ascii="Arial" w:hAnsi="Arial" w:cs="Arial"/>
                <w:sz w:val="18"/>
                <w:szCs w:val="18"/>
              </w:rPr>
            </w:pPr>
            <w:r w:rsidRPr="007D4BEC">
              <w:rPr>
                <w:rFonts w:ascii="Arial" w:hAnsi="Arial" w:cs="Arial"/>
                <w:sz w:val="18"/>
                <w:szCs w:val="18"/>
              </w:rPr>
              <w:t>1</w:t>
            </w:r>
            <w:r>
              <w:rPr>
                <w:rFonts w:ascii="Arial" w:hAnsi="Arial" w:cs="Arial"/>
                <w:sz w:val="18"/>
                <w:szCs w:val="18"/>
              </w:rPr>
              <w:t>0,0</w:t>
            </w:r>
          </w:p>
        </w:tc>
        <w:tc>
          <w:tcPr>
            <w:tcW w:w="1276" w:type="dxa"/>
            <w:vAlign w:val="center"/>
          </w:tcPr>
          <w:p w:rsidR="00710F2A" w:rsidRPr="00395815" w:rsidRDefault="00710F2A" w:rsidP="00425EFD">
            <w:pPr>
              <w:tabs>
                <w:tab w:val="left" w:pos="8505"/>
              </w:tabs>
              <w:rPr>
                <w:rFonts w:ascii="Arial" w:hAnsi="Arial" w:cs="Arial"/>
                <w:sz w:val="18"/>
                <w:szCs w:val="18"/>
              </w:rPr>
            </w:pPr>
            <w:r w:rsidRPr="00395815">
              <w:rPr>
                <w:rFonts w:ascii="Arial" w:hAnsi="Arial" w:cs="Arial"/>
                <w:sz w:val="18"/>
                <w:szCs w:val="18"/>
              </w:rPr>
              <w:t>--</w:t>
            </w:r>
          </w:p>
        </w:tc>
      </w:tr>
      <w:tr w:rsidR="00710F2A" w:rsidRPr="00DF6351" w:rsidTr="00425EFD">
        <w:trPr>
          <w:trHeight w:val="284"/>
        </w:trPr>
        <w:tc>
          <w:tcPr>
            <w:tcW w:w="4077" w:type="dxa"/>
            <w:vAlign w:val="center"/>
          </w:tcPr>
          <w:p w:rsidR="00710F2A" w:rsidRPr="00DF6351" w:rsidRDefault="00710F2A" w:rsidP="00425EFD">
            <w:pPr>
              <w:tabs>
                <w:tab w:val="left" w:pos="8505"/>
              </w:tabs>
              <w:rPr>
                <w:rFonts w:ascii="Arial" w:hAnsi="Arial" w:cs="Arial"/>
                <w:sz w:val="18"/>
                <w:szCs w:val="18"/>
              </w:rPr>
            </w:pPr>
            <w:r w:rsidRPr="00DF6351">
              <w:rPr>
                <w:rFonts w:ascii="Arial" w:hAnsi="Arial" w:cs="Arial"/>
                <w:sz w:val="18"/>
                <w:szCs w:val="18"/>
              </w:rPr>
              <w:t>Investitionen in Sachanlagen und immaterielle Vermögenswerte [in Mio</w:t>
            </w:r>
            <w:r>
              <w:rPr>
                <w:rFonts w:ascii="Arial" w:hAnsi="Arial" w:cs="Arial"/>
                <w:sz w:val="18"/>
                <w:szCs w:val="18"/>
              </w:rPr>
              <w:t>.</w:t>
            </w:r>
            <w:r w:rsidRPr="00DF6351">
              <w:rPr>
                <w:rFonts w:ascii="Arial" w:hAnsi="Arial" w:cs="Arial"/>
                <w:sz w:val="18"/>
                <w:szCs w:val="18"/>
              </w:rPr>
              <w:t xml:space="preserve"> €]</w:t>
            </w:r>
          </w:p>
        </w:tc>
        <w:tc>
          <w:tcPr>
            <w:tcW w:w="1276" w:type="dxa"/>
            <w:vAlign w:val="center"/>
          </w:tcPr>
          <w:p w:rsidR="00710F2A" w:rsidRPr="007E6562" w:rsidRDefault="00710F2A" w:rsidP="007E6562">
            <w:pPr>
              <w:tabs>
                <w:tab w:val="left" w:pos="8505"/>
              </w:tabs>
              <w:rPr>
                <w:rFonts w:ascii="Arial" w:hAnsi="Arial" w:cs="Arial"/>
                <w:sz w:val="18"/>
                <w:szCs w:val="18"/>
              </w:rPr>
            </w:pPr>
            <w:r w:rsidRPr="007E6562">
              <w:rPr>
                <w:rFonts w:ascii="Arial" w:hAnsi="Arial" w:cs="Arial"/>
                <w:sz w:val="18"/>
                <w:szCs w:val="18"/>
              </w:rPr>
              <w:t>2</w:t>
            </w:r>
            <w:r w:rsidR="007E6562" w:rsidRPr="007E6562">
              <w:rPr>
                <w:rFonts w:ascii="Arial" w:hAnsi="Arial" w:cs="Arial"/>
                <w:sz w:val="18"/>
                <w:szCs w:val="18"/>
              </w:rPr>
              <w:t>10,8</w:t>
            </w:r>
          </w:p>
        </w:tc>
        <w:tc>
          <w:tcPr>
            <w:tcW w:w="1276" w:type="dxa"/>
            <w:vAlign w:val="center"/>
          </w:tcPr>
          <w:p w:rsidR="00710F2A" w:rsidRPr="007D4BEC" w:rsidRDefault="00710F2A" w:rsidP="007E6562">
            <w:pPr>
              <w:tabs>
                <w:tab w:val="left" w:pos="8505"/>
              </w:tabs>
              <w:rPr>
                <w:rFonts w:ascii="Arial" w:hAnsi="Arial" w:cs="Arial"/>
                <w:sz w:val="18"/>
                <w:szCs w:val="18"/>
              </w:rPr>
            </w:pPr>
            <w:r w:rsidRPr="007D4BEC">
              <w:rPr>
                <w:rFonts w:ascii="Arial" w:hAnsi="Arial" w:cs="Arial"/>
                <w:sz w:val="18"/>
                <w:szCs w:val="18"/>
              </w:rPr>
              <w:t>2</w:t>
            </w:r>
            <w:r>
              <w:rPr>
                <w:rFonts w:ascii="Arial" w:hAnsi="Arial" w:cs="Arial"/>
                <w:sz w:val="18"/>
                <w:szCs w:val="18"/>
              </w:rPr>
              <w:t>47,</w:t>
            </w:r>
            <w:r w:rsidR="007E6562">
              <w:rPr>
                <w:rFonts w:ascii="Arial" w:hAnsi="Arial" w:cs="Arial"/>
                <w:sz w:val="18"/>
                <w:szCs w:val="18"/>
              </w:rPr>
              <w:t>5</w:t>
            </w:r>
          </w:p>
        </w:tc>
        <w:tc>
          <w:tcPr>
            <w:tcW w:w="1276" w:type="dxa"/>
            <w:vAlign w:val="center"/>
          </w:tcPr>
          <w:p w:rsidR="00710F2A" w:rsidRPr="00395815" w:rsidRDefault="007E6562" w:rsidP="00930134">
            <w:pPr>
              <w:tabs>
                <w:tab w:val="left" w:pos="8505"/>
              </w:tabs>
              <w:rPr>
                <w:rFonts w:ascii="Arial" w:hAnsi="Arial" w:cs="Arial"/>
                <w:sz w:val="18"/>
                <w:szCs w:val="18"/>
              </w:rPr>
            </w:pPr>
            <w:r w:rsidRPr="00395815">
              <w:rPr>
                <w:rFonts w:ascii="Arial" w:hAnsi="Arial" w:cs="Arial"/>
                <w:sz w:val="18"/>
                <w:szCs w:val="18"/>
              </w:rPr>
              <w:t xml:space="preserve">- </w:t>
            </w:r>
            <w:r w:rsidR="00930134" w:rsidRPr="00395815">
              <w:rPr>
                <w:rFonts w:ascii="Arial" w:hAnsi="Arial" w:cs="Arial"/>
                <w:sz w:val="18"/>
                <w:szCs w:val="18"/>
              </w:rPr>
              <w:t>14,8</w:t>
            </w:r>
            <w:r w:rsidRPr="00395815">
              <w:rPr>
                <w:rFonts w:ascii="Arial" w:hAnsi="Arial" w:cs="Arial"/>
                <w:sz w:val="18"/>
                <w:szCs w:val="18"/>
              </w:rPr>
              <w:t xml:space="preserve"> </w:t>
            </w:r>
            <w:r w:rsidR="00710F2A" w:rsidRPr="00395815">
              <w:rPr>
                <w:rFonts w:ascii="Arial" w:hAnsi="Arial" w:cs="Arial"/>
                <w:sz w:val="18"/>
                <w:szCs w:val="18"/>
              </w:rPr>
              <w:t>%</w:t>
            </w:r>
          </w:p>
        </w:tc>
      </w:tr>
      <w:tr w:rsidR="00710F2A" w:rsidRPr="00DF6351" w:rsidTr="00425EFD">
        <w:trPr>
          <w:trHeight w:val="284"/>
        </w:trPr>
        <w:tc>
          <w:tcPr>
            <w:tcW w:w="4077" w:type="dxa"/>
            <w:vAlign w:val="center"/>
          </w:tcPr>
          <w:p w:rsidR="00710F2A" w:rsidRPr="00DF6351" w:rsidRDefault="00710F2A" w:rsidP="00425EFD">
            <w:pPr>
              <w:tabs>
                <w:tab w:val="left" w:pos="8505"/>
              </w:tabs>
              <w:rPr>
                <w:rFonts w:ascii="Arial" w:hAnsi="Arial" w:cs="Arial"/>
                <w:sz w:val="18"/>
                <w:szCs w:val="18"/>
              </w:rPr>
            </w:pPr>
            <w:r w:rsidRPr="00DF6351">
              <w:rPr>
                <w:rFonts w:ascii="Arial" w:hAnsi="Arial" w:cs="Arial"/>
                <w:sz w:val="18"/>
                <w:szCs w:val="18"/>
              </w:rPr>
              <w:t>Mitarbeiter (per 31.12.)</w:t>
            </w:r>
          </w:p>
        </w:tc>
        <w:tc>
          <w:tcPr>
            <w:tcW w:w="1276" w:type="dxa"/>
            <w:vAlign w:val="center"/>
          </w:tcPr>
          <w:p w:rsidR="00710F2A" w:rsidRPr="007E6562" w:rsidRDefault="007E6562" w:rsidP="007E6562">
            <w:pPr>
              <w:tabs>
                <w:tab w:val="left" w:pos="8505"/>
              </w:tabs>
              <w:rPr>
                <w:rFonts w:ascii="Arial" w:hAnsi="Arial" w:cs="Arial"/>
                <w:sz w:val="18"/>
                <w:szCs w:val="18"/>
              </w:rPr>
            </w:pPr>
            <w:r w:rsidRPr="007E6562">
              <w:rPr>
                <w:rFonts w:ascii="Arial" w:hAnsi="Arial" w:cs="Arial"/>
                <w:sz w:val="18"/>
                <w:szCs w:val="18"/>
              </w:rPr>
              <w:t>79.037</w:t>
            </w:r>
          </w:p>
        </w:tc>
        <w:tc>
          <w:tcPr>
            <w:tcW w:w="1276" w:type="dxa"/>
            <w:vAlign w:val="center"/>
          </w:tcPr>
          <w:p w:rsidR="00710F2A" w:rsidRPr="007D4BEC" w:rsidRDefault="00710F2A" w:rsidP="00425EFD">
            <w:pPr>
              <w:tabs>
                <w:tab w:val="left" w:pos="8505"/>
              </w:tabs>
              <w:rPr>
                <w:rFonts w:ascii="Arial" w:hAnsi="Arial" w:cs="Arial"/>
                <w:sz w:val="18"/>
                <w:szCs w:val="18"/>
              </w:rPr>
            </w:pPr>
            <w:r>
              <w:rPr>
                <w:rFonts w:ascii="Arial" w:hAnsi="Arial" w:cs="Arial"/>
                <w:sz w:val="18"/>
                <w:szCs w:val="18"/>
              </w:rPr>
              <w:t>74</w:t>
            </w:r>
            <w:r w:rsidRPr="007D4BEC">
              <w:rPr>
                <w:rFonts w:ascii="Arial" w:hAnsi="Arial" w:cs="Arial"/>
                <w:sz w:val="18"/>
                <w:szCs w:val="18"/>
              </w:rPr>
              <w:t>.</w:t>
            </w:r>
            <w:r>
              <w:rPr>
                <w:rFonts w:ascii="Arial" w:hAnsi="Arial" w:cs="Arial"/>
                <w:sz w:val="18"/>
                <w:szCs w:val="18"/>
              </w:rPr>
              <w:t>018</w:t>
            </w:r>
          </w:p>
        </w:tc>
        <w:tc>
          <w:tcPr>
            <w:tcW w:w="1276" w:type="dxa"/>
            <w:vAlign w:val="center"/>
          </w:tcPr>
          <w:p w:rsidR="00710F2A" w:rsidRPr="00395815" w:rsidRDefault="00710F2A" w:rsidP="00930134">
            <w:pPr>
              <w:tabs>
                <w:tab w:val="left" w:pos="8505"/>
              </w:tabs>
              <w:rPr>
                <w:rFonts w:ascii="Arial" w:hAnsi="Arial" w:cs="Arial"/>
                <w:sz w:val="18"/>
                <w:szCs w:val="18"/>
              </w:rPr>
            </w:pPr>
            <w:r w:rsidRPr="00395815">
              <w:rPr>
                <w:rFonts w:ascii="Arial" w:hAnsi="Arial" w:cs="Arial"/>
                <w:sz w:val="18"/>
                <w:szCs w:val="18"/>
              </w:rPr>
              <w:t>+</w:t>
            </w:r>
            <w:r w:rsidR="007E6562" w:rsidRPr="00395815">
              <w:rPr>
                <w:rFonts w:ascii="Arial" w:hAnsi="Arial" w:cs="Arial"/>
                <w:sz w:val="18"/>
                <w:szCs w:val="18"/>
              </w:rPr>
              <w:t xml:space="preserve"> </w:t>
            </w:r>
            <w:r w:rsidR="00930134" w:rsidRPr="00395815">
              <w:rPr>
                <w:rFonts w:ascii="Arial" w:hAnsi="Arial" w:cs="Arial"/>
                <w:sz w:val="18"/>
                <w:szCs w:val="18"/>
              </w:rPr>
              <w:t>6,8</w:t>
            </w:r>
            <w:r w:rsidRPr="00395815">
              <w:rPr>
                <w:rFonts w:ascii="Arial" w:hAnsi="Arial" w:cs="Arial"/>
                <w:sz w:val="18"/>
                <w:szCs w:val="18"/>
              </w:rPr>
              <w:t xml:space="preserve"> %</w:t>
            </w:r>
          </w:p>
        </w:tc>
      </w:tr>
    </w:tbl>
    <w:p w:rsidR="00A92505" w:rsidRDefault="00A92505" w:rsidP="00A92505">
      <w:pPr>
        <w:autoSpaceDE w:val="0"/>
        <w:autoSpaceDN w:val="0"/>
        <w:adjustRightInd w:val="0"/>
        <w:ind w:left="360" w:right="1854"/>
        <w:rPr>
          <w:rFonts w:ascii="Arial" w:hAnsi="Arial" w:cs="Arial"/>
          <w:i/>
          <w:sz w:val="16"/>
          <w:szCs w:val="16"/>
        </w:rPr>
      </w:pPr>
    </w:p>
    <w:p w:rsidR="00A92505" w:rsidRPr="007E6562" w:rsidRDefault="00A92505" w:rsidP="00A92505">
      <w:pPr>
        <w:pStyle w:val="Listenabsatz"/>
        <w:numPr>
          <w:ilvl w:val="0"/>
          <w:numId w:val="3"/>
        </w:numPr>
        <w:autoSpaceDE w:val="0"/>
        <w:autoSpaceDN w:val="0"/>
        <w:adjustRightInd w:val="0"/>
        <w:ind w:left="284" w:right="1711" w:hanging="284"/>
        <w:rPr>
          <w:rFonts w:ascii="Arial" w:hAnsi="Arial" w:cs="Arial"/>
          <w:i/>
          <w:sz w:val="16"/>
          <w:szCs w:val="16"/>
        </w:rPr>
      </w:pPr>
      <w:r w:rsidRPr="007E6562">
        <w:rPr>
          <w:rFonts w:ascii="Arial" w:hAnsi="Arial" w:cs="Arial"/>
          <w:i/>
          <w:sz w:val="16"/>
          <w:szCs w:val="16"/>
        </w:rPr>
        <w:t>Ergebnis bereinigt um die Effekte aus der Neubewertung im Rahmen der Kaufpreisverteilung wesentlicher Akquisitionen, Restrukturierungen, Gewinne aus Unte</w:t>
      </w:r>
      <w:r w:rsidR="00747BA4" w:rsidRPr="007E6562">
        <w:rPr>
          <w:rFonts w:ascii="Arial" w:hAnsi="Arial" w:cs="Arial"/>
          <w:i/>
          <w:sz w:val="16"/>
          <w:szCs w:val="16"/>
        </w:rPr>
        <w:t>r</w:t>
      </w:r>
      <w:r w:rsidRPr="007E6562">
        <w:rPr>
          <w:rFonts w:ascii="Arial" w:hAnsi="Arial" w:cs="Arial"/>
          <w:i/>
          <w:sz w:val="16"/>
          <w:szCs w:val="16"/>
        </w:rPr>
        <w:t>nehmensverkäufen</w:t>
      </w:r>
      <w:r w:rsidR="000D12FB" w:rsidRPr="007E6562">
        <w:rPr>
          <w:rFonts w:ascii="Arial" w:hAnsi="Arial" w:cs="Arial"/>
          <w:i/>
          <w:sz w:val="16"/>
          <w:szCs w:val="16"/>
        </w:rPr>
        <w:t xml:space="preserve">, </w:t>
      </w:r>
      <w:r w:rsidRPr="007E6562">
        <w:rPr>
          <w:rFonts w:ascii="Arial" w:hAnsi="Arial" w:cs="Arial"/>
          <w:i/>
          <w:sz w:val="16"/>
          <w:szCs w:val="16"/>
        </w:rPr>
        <w:t>Ergebnisse aus Unternehmenszusammenschlüssen inklusive zugehöriger Derivate</w:t>
      </w:r>
      <w:r w:rsidR="000D12FB" w:rsidRPr="007E6562">
        <w:rPr>
          <w:rFonts w:ascii="Arial" w:hAnsi="Arial" w:cs="Arial"/>
          <w:i/>
          <w:sz w:val="16"/>
          <w:szCs w:val="16"/>
        </w:rPr>
        <w:t xml:space="preserve"> und Belastung</w:t>
      </w:r>
      <w:r w:rsidR="0004676A">
        <w:rPr>
          <w:rFonts w:ascii="Arial" w:hAnsi="Arial" w:cs="Arial"/>
          <w:i/>
          <w:sz w:val="16"/>
          <w:szCs w:val="16"/>
        </w:rPr>
        <w:t>en</w:t>
      </w:r>
      <w:r w:rsidR="000D12FB" w:rsidRPr="007E6562">
        <w:rPr>
          <w:rFonts w:ascii="Arial" w:hAnsi="Arial" w:cs="Arial"/>
          <w:i/>
          <w:sz w:val="16"/>
          <w:szCs w:val="16"/>
        </w:rPr>
        <w:t xml:space="preserve"> aus Betrugsfall</w:t>
      </w:r>
    </w:p>
    <w:p w:rsidR="00A92505" w:rsidRPr="00852108" w:rsidRDefault="00A92505" w:rsidP="00A92505">
      <w:pPr>
        <w:pStyle w:val="MMZwischenberschrift"/>
      </w:pPr>
    </w:p>
    <w:p w:rsidR="00A92505" w:rsidRDefault="00A92505" w:rsidP="00A92505">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9" w:history="1">
        <w:r w:rsidR="00930134" w:rsidRPr="00475EBC">
          <w:rPr>
            <w:rStyle w:val="Hyperlink"/>
            <w:rFonts w:ascii="Arial" w:hAnsi="Arial" w:cs="Arial"/>
            <w:i/>
            <w:sz w:val="22"/>
            <w:szCs w:val="22"/>
          </w:rPr>
          <w:t>www.leoni.com/de/presse/mitteilungen/d</w:t>
        </w:r>
        <w:r w:rsidR="00930134" w:rsidRPr="00395815">
          <w:rPr>
            <w:rStyle w:val="Hyperlink"/>
            <w:rFonts w:ascii="Arial" w:hAnsi="Arial" w:cs="Arial"/>
            <w:i/>
            <w:sz w:val="22"/>
            <w:szCs w:val="22"/>
          </w:rPr>
          <w:t>etails/leoni-sie</w:t>
        </w:r>
        <w:r w:rsidR="00930134" w:rsidRPr="00475EBC">
          <w:rPr>
            <w:rStyle w:val="Hyperlink"/>
            <w:rFonts w:ascii="Arial" w:hAnsi="Arial" w:cs="Arial"/>
            <w:i/>
            <w:sz w:val="22"/>
            <w:szCs w:val="22"/>
          </w:rPr>
          <w:t>ht-positiven-trend-fuer-kuenftige-geschaeftsentwicklung/</w:t>
        </w:r>
      </w:hyperlink>
      <w:r w:rsidRPr="00FE68FC">
        <w:rPr>
          <w:rFonts w:ascii="Arial" w:hAnsi="Arial" w:cs="Arial"/>
          <w:i/>
          <w:sz w:val="22"/>
          <w:szCs w:val="22"/>
        </w:rPr>
        <w:t xml:space="preserve"> </w:t>
      </w:r>
    </w:p>
    <w:p w:rsidR="00A92505" w:rsidRPr="00E01A4E" w:rsidRDefault="00A92505" w:rsidP="00A92505">
      <w:pPr>
        <w:ind w:right="1852"/>
        <w:rPr>
          <w:rFonts w:ascii="Arial" w:hAnsi="Arial" w:cs="Arial"/>
          <w:i/>
          <w:sz w:val="21"/>
          <w:szCs w:val="21"/>
        </w:rPr>
      </w:pPr>
      <w:r w:rsidRPr="00B30C8C">
        <w:rPr>
          <w:rFonts w:ascii="Arial" w:hAnsi="Arial" w:cs="Arial"/>
          <w:sz w:val="36"/>
          <w:szCs w:val="36"/>
        </w:rPr>
        <w:sym w:font="Wingdings" w:char="F046"/>
      </w:r>
      <w:r w:rsidRPr="00B30C8C">
        <w:rPr>
          <w:rFonts w:ascii="Arial" w:hAnsi="Arial" w:cs="Arial"/>
          <w:i/>
          <w:sz w:val="20"/>
          <w:szCs w:val="20"/>
        </w:rPr>
        <w:t xml:space="preserve"> </w:t>
      </w:r>
      <w:r w:rsidRPr="00B30C8C">
        <w:rPr>
          <w:rFonts w:ascii="Arial" w:hAnsi="Arial" w:cs="Arial"/>
          <w:i/>
          <w:sz w:val="22"/>
          <w:szCs w:val="22"/>
        </w:rPr>
        <w:t xml:space="preserve">Den vollständigen Geschäftsbericht können Sie herunterladen unter </w:t>
      </w:r>
      <w:hyperlink r:id="rId10" w:history="1">
        <w:r w:rsidRPr="007923E9">
          <w:rPr>
            <w:rStyle w:val="Hyperlink"/>
            <w:rFonts w:ascii="Arial" w:hAnsi="Arial" w:cs="Arial"/>
            <w:i/>
            <w:sz w:val="22"/>
            <w:szCs w:val="22"/>
          </w:rPr>
          <w:t>www.leoni.com/de/finanzpublikationen</w:t>
        </w:r>
      </w:hyperlink>
    </w:p>
    <w:p w:rsidR="00DF6351" w:rsidRPr="00FE68FC" w:rsidRDefault="00DF6351" w:rsidP="00195338">
      <w:pPr>
        <w:spacing w:before="120"/>
        <w:ind w:right="1711"/>
        <w:rPr>
          <w:rFonts w:ascii="Arial" w:hAnsi="Arial" w:cs="Arial"/>
          <w:i/>
          <w:sz w:val="22"/>
          <w:szCs w:val="22"/>
        </w:rPr>
      </w:pPr>
      <w:r w:rsidRPr="00FE68FC">
        <w:rPr>
          <w:rFonts w:ascii="Arial" w:hAnsi="Arial" w:cs="Arial"/>
          <w:i/>
          <w:sz w:val="22"/>
          <w:szCs w:val="22"/>
        </w:rPr>
        <w:t xml:space="preserve"> </w:t>
      </w:r>
    </w:p>
    <w:p w:rsidR="001B621B" w:rsidRPr="006D36F9" w:rsidRDefault="006F4393" w:rsidP="006D36F9">
      <w:pPr>
        <w:pStyle w:val="MMKurzprofilberschrift"/>
      </w:pPr>
      <w:r w:rsidRPr="006D36F9">
        <w:t>Über die Leoni-Gruppe</w:t>
      </w:r>
    </w:p>
    <w:p w:rsidR="005E0BBB" w:rsidRDefault="00327805" w:rsidP="005E0BBB">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mehr als 79.000 Mitarbeiter in 32 Ländern und erzielte 2016 einen Konzernumsatz von 4,4 Mrd. Euro</w:t>
      </w:r>
      <w:r w:rsidRPr="00B56D05">
        <w:t>.</w:t>
      </w:r>
      <w:r>
        <w:t xml:space="preserve"> Im Jahr 2017 feiert Leoni sein 100-jähriges Jubiläum</w:t>
      </w:r>
      <w:r w:rsidR="003F14D0">
        <w:t>.</w:t>
      </w:r>
    </w:p>
    <w:p w:rsidR="00E569A0" w:rsidRPr="00877C02" w:rsidRDefault="00E569A0" w:rsidP="00E569A0">
      <w:pPr>
        <w:pStyle w:val="MMKurzprofil"/>
        <w:rPr>
          <w:sz w:val="8"/>
          <w:szCs w:val="8"/>
        </w:rPr>
      </w:pPr>
    </w:p>
    <w:p w:rsidR="00E569A0" w:rsidRPr="00320044" w:rsidRDefault="00EF591E" w:rsidP="005E0BBB">
      <w:pPr>
        <w:pStyle w:val="MMKurzprofil"/>
      </w:pPr>
      <w:r>
        <w:rPr>
          <w:noProof/>
        </w:rPr>
        <w:drawing>
          <wp:inline distT="0" distB="0" distL="0" distR="0" wp14:anchorId="49788481" wp14:editId="2F80263A">
            <wp:extent cx="180975" cy="180975"/>
            <wp:effectExtent l="0" t="0" r="9525" b="9525"/>
            <wp:docPr id="4" name="Bild 1"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14:anchorId="62473EFB" wp14:editId="62482110">
            <wp:extent cx="180975" cy="180975"/>
            <wp:effectExtent l="0" t="0" r="9525" b="9525"/>
            <wp:docPr id="2" name="Bild 2" descr="xi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8F5F48" w:rsidRPr="006D36F9" w:rsidRDefault="00441963" w:rsidP="006D36F9">
      <w:pPr>
        <w:pStyle w:val="MMKurzprofilberschrift"/>
      </w:pPr>
      <w:r w:rsidRPr="006D36F9">
        <w:t xml:space="preserve">Ansprechpartner für </w:t>
      </w:r>
      <w:r w:rsidR="0061798D" w:rsidRPr="006D36F9">
        <w:t>Journalisten</w:t>
      </w:r>
    </w:p>
    <w:p w:rsidR="008F5F48" w:rsidRPr="00930134" w:rsidRDefault="008F5F48" w:rsidP="006D36F9">
      <w:pPr>
        <w:pStyle w:val="MMKurzprofil"/>
        <w:rPr>
          <w:lang w:val="en-US"/>
        </w:rPr>
      </w:pPr>
      <w:r w:rsidRPr="00930134">
        <w:rPr>
          <w:lang w:val="en-US"/>
        </w:rPr>
        <w:t>Sven Schmidt</w:t>
      </w:r>
    </w:p>
    <w:p w:rsidR="008F5F48" w:rsidRPr="00930134" w:rsidRDefault="000A7B89" w:rsidP="006D36F9">
      <w:pPr>
        <w:pStyle w:val="MMKurzprofil"/>
        <w:rPr>
          <w:lang w:val="en-US"/>
        </w:rPr>
      </w:pPr>
      <w:r w:rsidRPr="00930134">
        <w:rPr>
          <w:lang w:val="en-US"/>
        </w:rPr>
        <w:t xml:space="preserve">Corporate </w:t>
      </w:r>
      <w:r w:rsidR="008F5F48" w:rsidRPr="00930134">
        <w:rPr>
          <w:lang w:val="en-US"/>
        </w:rPr>
        <w:t>Public &amp; Media Relations</w:t>
      </w:r>
    </w:p>
    <w:p w:rsidR="009613DC" w:rsidRPr="00930134" w:rsidRDefault="009613DC" w:rsidP="006D36F9">
      <w:pPr>
        <w:pStyle w:val="MMKurzprofil"/>
        <w:rPr>
          <w:lang w:val="en-US"/>
        </w:rPr>
      </w:pPr>
      <w:r w:rsidRPr="00930134">
        <w:rPr>
          <w:lang w:val="en-US"/>
        </w:rPr>
        <w:t>LEONI AG</w:t>
      </w:r>
    </w:p>
    <w:p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rsidR="008F5F48" w:rsidRPr="006D36F9" w:rsidRDefault="008F5F48" w:rsidP="006D36F9">
      <w:pPr>
        <w:pStyle w:val="MMKurzprofil"/>
        <w:tabs>
          <w:tab w:val="clear" w:pos="8505"/>
          <w:tab w:val="left" w:pos="851"/>
        </w:tabs>
      </w:pPr>
      <w:r w:rsidRPr="006D36F9">
        <w:t>E-Mail</w:t>
      </w:r>
      <w:r w:rsidRPr="006D36F9">
        <w:tab/>
      </w:r>
      <w:hyperlink r:id="rId15" w:history="1">
        <w:r w:rsidR="00883645" w:rsidRPr="00CA55F6">
          <w:rPr>
            <w:rStyle w:val="Hyperlink"/>
          </w:rPr>
          <w:t>presse@leoni.com</w:t>
        </w:r>
      </w:hyperlink>
    </w:p>
    <w:sectPr w:rsidR="008F5F48" w:rsidRPr="006D36F9" w:rsidSect="007E491E">
      <w:headerReference w:type="even" r:id="rId16"/>
      <w:headerReference w:type="default" r:id="rId17"/>
      <w:footerReference w:type="even" r:id="rId18"/>
      <w:footerReference w:type="default" r:id="rId19"/>
      <w:headerReference w:type="first" r:id="rId20"/>
      <w:footerReference w:type="first" r:id="rId21"/>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E5" w:rsidRPr="00A44C71" w:rsidRDefault="006D1EE5">
      <w:pPr>
        <w:rPr>
          <w:sz w:val="16"/>
        </w:rPr>
      </w:pPr>
      <w:r>
        <w:separator/>
      </w:r>
    </w:p>
  </w:endnote>
  <w:endnote w:type="continuationSeparator" w:id="0">
    <w:p w:rsidR="006D1EE5" w:rsidRPr="00A44C71" w:rsidRDefault="006D1EE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0" w:rsidRDefault="00EC32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5F442F">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5F442F">
      <w:rPr>
        <w:rStyle w:val="Seitenzahl"/>
        <w:rFonts w:ascii="Arial" w:hAnsi="Arial" w:cs="Arial"/>
        <w:i/>
        <w:noProof/>
        <w:sz w:val="16"/>
        <w:szCs w:val="16"/>
      </w:rPr>
      <w:t>5</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4A0E90E2" wp14:editId="2BD9052B">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1E" w:rsidRPr="00190924" w:rsidRDefault="007E491E" w:rsidP="007E491E">
    <w:pPr>
      <w:pStyle w:val="Fuzeile"/>
      <w:tabs>
        <w:tab w:val="clear" w:pos="4536"/>
        <w:tab w:val="left" w:pos="2879"/>
        <w:tab w:val="left" w:pos="3788"/>
        <w:tab w:val="left" w:pos="5842"/>
        <w:tab w:val="left" w:pos="7729"/>
      </w:tabs>
      <w:spacing w:before="20"/>
    </w:pPr>
  </w:p>
  <w:p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E5" w:rsidRPr="00A44C71" w:rsidRDefault="006D1EE5">
      <w:pPr>
        <w:rPr>
          <w:sz w:val="16"/>
        </w:rPr>
      </w:pPr>
      <w:r>
        <w:separator/>
      </w:r>
    </w:p>
  </w:footnote>
  <w:footnote w:type="continuationSeparator" w:id="0">
    <w:p w:rsidR="006D1EE5" w:rsidRPr="00A44C71" w:rsidRDefault="006D1EE5">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0" w:rsidRDefault="00EC32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525CF0D4" wp14:editId="528FCFFA">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722A974A" wp14:editId="66FADA2E">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259D"/>
    <w:rsid w:val="00013A64"/>
    <w:rsid w:val="0002408F"/>
    <w:rsid w:val="0003314F"/>
    <w:rsid w:val="000453F9"/>
    <w:rsid w:val="0004676A"/>
    <w:rsid w:val="000A0822"/>
    <w:rsid w:val="000A32BC"/>
    <w:rsid w:val="000A7B89"/>
    <w:rsid w:val="000B3BF8"/>
    <w:rsid w:val="000B5865"/>
    <w:rsid w:val="000C02B1"/>
    <w:rsid w:val="000D12FB"/>
    <w:rsid w:val="000E0BCB"/>
    <w:rsid w:val="000E6946"/>
    <w:rsid w:val="000F2DC6"/>
    <w:rsid w:val="00102158"/>
    <w:rsid w:val="00110484"/>
    <w:rsid w:val="00112EFB"/>
    <w:rsid w:val="00123771"/>
    <w:rsid w:val="00123B76"/>
    <w:rsid w:val="00126C5F"/>
    <w:rsid w:val="00130F82"/>
    <w:rsid w:val="00132B87"/>
    <w:rsid w:val="00134E77"/>
    <w:rsid w:val="001454B6"/>
    <w:rsid w:val="00151EEF"/>
    <w:rsid w:val="00152D54"/>
    <w:rsid w:val="00157C54"/>
    <w:rsid w:val="00172DBF"/>
    <w:rsid w:val="001734DC"/>
    <w:rsid w:val="00184530"/>
    <w:rsid w:val="00184E80"/>
    <w:rsid w:val="0018564D"/>
    <w:rsid w:val="0019085A"/>
    <w:rsid w:val="00190924"/>
    <w:rsid w:val="00195338"/>
    <w:rsid w:val="001A26F1"/>
    <w:rsid w:val="001A2F5B"/>
    <w:rsid w:val="001B621B"/>
    <w:rsid w:val="001B6DC2"/>
    <w:rsid w:val="001C0CC3"/>
    <w:rsid w:val="001C7543"/>
    <w:rsid w:val="001D1868"/>
    <w:rsid w:val="001D2CDB"/>
    <w:rsid w:val="001D4108"/>
    <w:rsid w:val="00207FC6"/>
    <w:rsid w:val="00211D05"/>
    <w:rsid w:val="0022421D"/>
    <w:rsid w:val="00230401"/>
    <w:rsid w:val="0023293F"/>
    <w:rsid w:val="00240866"/>
    <w:rsid w:val="0024234A"/>
    <w:rsid w:val="00245C9E"/>
    <w:rsid w:val="00260A78"/>
    <w:rsid w:val="002630D8"/>
    <w:rsid w:val="00264325"/>
    <w:rsid w:val="002855D6"/>
    <w:rsid w:val="002929B6"/>
    <w:rsid w:val="002956A9"/>
    <w:rsid w:val="0029603C"/>
    <w:rsid w:val="002B325C"/>
    <w:rsid w:val="002B59D6"/>
    <w:rsid w:val="002B5B50"/>
    <w:rsid w:val="002B7AC7"/>
    <w:rsid w:val="002B7BFA"/>
    <w:rsid w:val="002C118D"/>
    <w:rsid w:val="002E009D"/>
    <w:rsid w:val="003118F1"/>
    <w:rsid w:val="00313ADA"/>
    <w:rsid w:val="00320044"/>
    <w:rsid w:val="00327805"/>
    <w:rsid w:val="00361CF2"/>
    <w:rsid w:val="00362050"/>
    <w:rsid w:val="00364DCD"/>
    <w:rsid w:val="00382198"/>
    <w:rsid w:val="00395815"/>
    <w:rsid w:val="00397AC4"/>
    <w:rsid w:val="003B5354"/>
    <w:rsid w:val="003C6AAE"/>
    <w:rsid w:val="003D2799"/>
    <w:rsid w:val="003E190D"/>
    <w:rsid w:val="003E43B4"/>
    <w:rsid w:val="003E4B96"/>
    <w:rsid w:val="003F14D0"/>
    <w:rsid w:val="003F74D0"/>
    <w:rsid w:val="00404468"/>
    <w:rsid w:val="00432245"/>
    <w:rsid w:val="00432D1D"/>
    <w:rsid w:val="00441012"/>
    <w:rsid w:val="00441963"/>
    <w:rsid w:val="0045071B"/>
    <w:rsid w:val="004547BF"/>
    <w:rsid w:val="004612DA"/>
    <w:rsid w:val="00466073"/>
    <w:rsid w:val="00473340"/>
    <w:rsid w:val="00473E7D"/>
    <w:rsid w:val="004826F0"/>
    <w:rsid w:val="004A1653"/>
    <w:rsid w:val="004A457B"/>
    <w:rsid w:val="004B0623"/>
    <w:rsid w:val="004B3DB8"/>
    <w:rsid w:val="004B4CC2"/>
    <w:rsid w:val="004B78AC"/>
    <w:rsid w:val="004D2FCB"/>
    <w:rsid w:val="004E29FC"/>
    <w:rsid w:val="004F038C"/>
    <w:rsid w:val="004F2266"/>
    <w:rsid w:val="004F244E"/>
    <w:rsid w:val="004F7079"/>
    <w:rsid w:val="00500004"/>
    <w:rsid w:val="00500B29"/>
    <w:rsid w:val="005072AE"/>
    <w:rsid w:val="00526F46"/>
    <w:rsid w:val="00527717"/>
    <w:rsid w:val="00533F65"/>
    <w:rsid w:val="00541239"/>
    <w:rsid w:val="00543C34"/>
    <w:rsid w:val="005448AB"/>
    <w:rsid w:val="00547D6D"/>
    <w:rsid w:val="0056043F"/>
    <w:rsid w:val="005A0F90"/>
    <w:rsid w:val="005B4DC3"/>
    <w:rsid w:val="005C5351"/>
    <w:rsid w:val="005D4C87"/>
    <w:rsid w:val="005D550E"/>
    <w:rsid w:val="005E0BBB"/>
    <w:rsid w:val="005F442F"/>
    <w:rsid w:val="00600E53"/>
    <w:rsid w:val="00614A49"/>
    <w:rsid w:val="0061798D"/>
    <w:rsid w:val="0062285E"/>
    <w:rsid w:val="00626983"/>
    <w:rsid w:val="00631FB1"/>
    <w:rsid w:val="00633487"/>
    <w:rsid w:val="006457CF"/>
    <w:rsid w:val="00654989"/>
    <w:rsid w:val="006611CF"/>
    <w:rsid w:val="0066292E"/>
    <w:rsid w:val="00667A44"/>
    <w:rsid w:val="00683EF3"/>
    <w:rsid w:val="006A76CA"/>
    <w:rsid w:val="006B2678"/>
    <w:rsid w:val="006C5546"/>
    <w:rsid w:val="006C6A78"/>
    <w:rsid w:val="006D1EE5"/>
    <w:rsid w:val="006D36F9"/>
    <w:rsid w:val="006E0029"/>
    <w:rsid w:val="006F0BE8"/>
    <w:rsid w:val="006F435B"/>
    <w:rsid w:val="006F4393"/>
    <w:rsid w:val="006F78FE"/>
    <w:rsid w:val="00710F2A"/>
    <w:rsid w:val="00720539"/>
    <w:rsid w:val="00721853"/>
    <w:rsid w:val="007420F8"/>
    <w:rsid w:val="00746469"/>
    <w:rsid w:val="00747BA4"/>
    <w:rsid w:val="00751969"/>
    <w:rsid w:val="00765E37"/>
    <w:rsid w:val="00772C01"/>
    <w:rsid w:val="007747B6"/>
    <w:rsid w:val="00774E03"/>
    <w:rsid w:val="00783A5E"/>
    <w:rsid w:val="007851FC"/>
    <w:rsid w:val="007864F1"/>
    <w:rsid w:val="00795463"/>
    <w:rsid w:val="007C3759"/>
    <w:rsid w:val="007D7D60"/>
    <w:rsid w:val="007E491E"/>
    <w:rsid w:val="007E6562"/>
    <w:rsid w:val="007F3212"/>
    <w:rsid w:val="008045E1"/>
    <w:rsid w:val="00821BA4"/>
    <w:rsid w:val="0083522C"/>
    <w:rsid w:val="008446CD"/>
    <w:rsid w:val="00860B7C"/>
    <w:rsid w:val="00877C02"/>
    <w:rsid w:val="00883645"/>
    <w:rsid w:val="008920B0"/>
    <w:rsid w:val="008B1883"/>
    <w:rsid w:val="008C29CB"/>
    <w:rsid w:val="008D26BA"/>
    <w:rsid w:val="008D6717"/>
    <w:rsid w:val="008E101F"/>
    <w:rsid w:val="008E7760"/>
    <w:rsid w:val="008F5F48"/>
    <w:rsid w:val="0090671E"/>
    <w:rsid w:val="00906898"/>
    <w:rsid w:val="00930134"/>
    <w:rsid w:val="00936411"/>
    <w:rsid w:val="00936962"/>
    <w:rsid w:val="009613DC"/>
    <w:rsid w:val="00961415"/>
    <w:rsid w:val="00967E91"/>
    <w:rsid w:val="009714B0"/>
    <w:rsid w:val="00977A5F"/>
    <w:rsid w:val="00977A87"/>
    <w:rsid w:val="00980D94"/>
    <w:rsid w:val="009A05EE"/>
    <w:rsid w:val="009A1070"/>
    <w:rsid w:val="009B48FF"/>
    <w:rsid w:val="009B564D"/>
    <w:rsid w:val="009C6B13"/>
    <w:rsid w:val="009F6805"/>
    <w:rsid w:val="009F752B"/>
    <w:rsid w:val="00A00B82"/>
    <w:rsid w:val="00A12538"/>
    <w:rsid w:val="00A23768"/>
    <w:rsid w:val="00A268EB"/>
    <w:rsid w:val="00A27173"/>
    <w:rsid w:val="00A34AA7"/>
    <w:rsid w:val="00A51DDE"/>
    <w:rsid w:val="00A52A32"/>
    <w:rsid w:val="00A54DDA"/>
    <w:rsid w:val="00A66992"/>
    <w:rsid w:val="00A708D7"/>
    <w:rsid w:val="00A76415"/>
    <w:rsid w:val="00A801EA"/>
    <w:rsid w:val="00A92505"/>
    <w:rsid w:val="00AA09F4"/>
    <w:rsid w:val="00AA2A8D"/>
    <w:rsid w:val="00AC2AE0"/>
    <w:rsid w:val="00AC7A23"/>
    <w:rsid w:val="00AD3E26"/>
    <w:rsid w:val="00AD7591"/>
    <w:rsid w:val="00AE43B7"/>
    <w:rsid w:val="00AF0A61"/>
    <w:rsid w:val="00AF3E2D"/>
    <w:rsid w:val="00B001B6"/>
    <w:rsid w:val="00B1340F"/>
    <w:rsid w:val="00B139E4"/>
    <w:rsid w:val="00B1500E"/>
    <w:rsid w:val="00B3540F"/>
    <w:rsid w:val="00B45E40"/>
    <w:rsid w:val="00B466F2"/>
    <w:rsid w:val="00B67561"/>
    <w:rsid w:val="00B70B1A"/>
    <w:rsid w:val="00B71C6F"/>
    <w:rsid w:val="00B82B8E"/>
    <w:rsid w:val="00B96DE2"/>
    <w:rsid w:val="00BA0052"/>
    <w:rsid w:val="00BA1DFA"/>
    <w:rsid w:val="00BB1A73"/>
    <w:rsid w:val="00BB4DA9"/>
    <w:rsid w:val="00BC5FE7"/>
    <w:rsid w:val="00BD22AC"/>
    <w:rsid w:val="00BD2643"/>
    <w:rsid w:val="00BD4058"/>
    <w:rsid w:val="00BE195E"/>
    <w:rsid w:val="00BF5681"/>
    <w:rsid w:val="00BF7DEC"/>
    <w:rsid w:val="00C03D20"/>
    <w:rsid w:val="00C108BC"/>
    <w:rsid w:val="00C11645"/>
    <w:rsid w:val="00C1516A"/>
    <w:rsid w:val="00C4636C"/>
    <w:rsid w:val="00C6770A"/>
    <w:rsid w:val="00C70F49"/>
    <w:rsid w:val="00C7427E"/>
    <w:rsid w:val="00C83F49"/>
    <w:rsid w:val="00C900A9"/>
    <w:rsid w:val="00C96EBA"/>
    <w:rsid w:val="00CA481B"/>
    <w:rsid w:val="00CA4B57"/>
    <w:rsid w:val="00CB644E"/>
    <w:rsid w:val="00CC3F86"/>
    <w:rsid w:val="00D04407"/>
    <w:rsid w:val="00D1225B"/>
    <w:rsid w:val="00D15735"/>
    <w:rsid w:val="00D22ED7"/>
    <w:rsid w:val="00D413F1"/>
    <w:rsid w:val="00D47FA5"/>
    <w:rsid w:val="00D56A62"/>
    <w:rsid w:val="00D65513"/>
    <w:rsid w:val="00D700B9"/>
    <w:rsid w:val="00D738A7"/>
    <w:rsid w:val="00D74838"/>
    <w:rsid w:val="00D7716B"/>
    <w:rsid w:val="00D80DBE"/>
    <w:rsid w:val="00D85488"/>
    <w:rsid w:val="00D90D76"/>
    <w:rsid w:val="00DA077B"/>
    <w:rsid w:val="00DA49A1"/>
    <w:rsid w:val="00DA79F8"/>
    <w:rsid w:val="00DB2E93"/>
    <w:rsid w:val="00DB536A"/>
    <w:rsid w:val="00DD5149"/>
    <w:rsid w:val="00DD67C1"/>
    <w:rsid w:val="00DF6351"/>
    <w:rsid w:val="00E01673"/>
    <w:rsid w:val="00E02B7A"/>
    <w:rsid w:val="00E02E00"/>
    <w:rsid w:val="00E2445B"/>
    <w:rsid w:val="00E33130"/>
    <w:rsid w:val="00E358C1"/>
    <w:rsid w:val="00E367AB"/>
    <w:rsid w:val="00E36F08"/>
    <w:rsid w:val="00E45475"/>
    <w:rsid w:val="00E460C8"/>
    <w:rsid w:val="00E569A0"/>
    <w:rsid w:val="00E76BA0"/>
    <w:rsid w:val="00E93051"/>
    <w:rsid w:val="00E96673"/>
    <w:rsid w:val="00EC0A0C"/>
    <w:rsid w:val="00EC0E74"/>
    <w:rsid w:val="00EC32B0"/>
    <w:rsid w:val="00EC6520"/>
    <w:rsid w:val="00ED1040"/>
    <w:rsid w:val="00ED47BD"/>
    <w:rsid w:val="00EE3329"/>
    <w:rsid w:val="00EF591E"/>
    <w:rsid w:val="00F21EA0"/>
    <w:rsid w:val="00F37865"/>
    <w:rsid w:val="00F45817"/>
    <w:rsid w:val="00F53056"/>
    <w:rsid w:val="00F64775"/>
    <w:rsid w:val="00F67138"/>
    <w:rsid w:val="00F737A1"/>
    <w:rsid w:val="00F73C92"/>
    <w:rsid w:val="00F77BB5"/>
    <w:rsid w:val="00F80249"/>
    <w:rsid w:val="00F84B1D"/>
    <w:rsid w:val="00F90257"/>
    <w:rsid w:val="00F91FB0"/>
    <w:rsid w:val="00F92DC3"/>
    <w:rsid w:val="00F94F62"/>
    <w:rsid w:val="00F955C9"/>
    <w:rsid w:val="00FC2BA4"/>
    <w:rsid w:val="00FD0E7A"/>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4581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4581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4581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4581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LEONI-Group-official-profile/193146627391754" TargetMode="External"/><Relationship Id="rId5" Type="http://schemas.openxmlformats.org/officeDocument/2006/relationships/settings" Target="settings.xml"/><Relationship Id="rId15" Type="http://schemas.openxmlformats.org/officeDocument/2006/relationships/hyperlink" Target="mailto:presse@leoni.com" TargetMode="External"/><Relationship Id="rId23" Type="http://schemas.openxmlformats.org/officeDocument/2006/relationships/theme" Target="theme/theme1.xml"/><Relationship Id="rId10" Type="http://schemas.openxmlformats.org/officeDocument/2006/relationships/hyperlink" Target="http://www.leoni.com/de/finanzpublikation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eoni.com/de/presse/mitteilungen/details/leoni-sieht-positiven-trend-fuer-kuenftige-geschaeftsentwicklung/"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8D9A-A898-4A6F-8604-D494955D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8905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10205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4</cp:revision>
  <cp:lastPrinted>2017-03-14T13:08:00Z</cp:lastPrinted>
  <dcterms:created xsi:type="dcterms:W3CDTF">2017-03-20T09:05:00Z</dcterms:created>
  <dcterms:modified xsi:type="dcterms:W3CDTF">2017-03-21T15:31:00Z</dcterms:modified>
</cp:coreProperties>
</file>