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F8" w:rsidRPr="004141F8" w:rsidRDefault="004141F8" w:rsidP="004141F8">
      <w:pPr>
        <w:pStyle w:val="MMU1"/>
      </w:pPr>
      <w:bookmarkStart w:id="0" w:name="_GoBack"/>
      <w:bookmarkEnd w:id="0"/>
      <w:r w:rsidRPr="004141F8">
        <w:t>Leoni continues successful business performance in the 3</w:t>
      </w:r>
      <w:r w:rsidRPr="004141F8">
        <w:rPr>
          <w:vertAlign w:val="superscript"/>
        </w:rPr>
        <w:t>rd</w:t>
      </w:r>
      <w:r w:rsidRPr="004141F8">
        <w:t xml:space="preserve"> quarter</w:t>
      </w:r>
    </w:p>
    <w:p w:rsidR="004141F8" w:rsidRPr="004141F8" w:rsidRDefault="004141F8" w:rsidP="004141F8">
      <w:pPr>
        <w:pStyle w:val="MMU2"/>
        <w:rPr>
          <w:b/>
          <w:bCs/>
        </w:rPr>
      </w:pPr>
      <w:r w:rsidRPr="004141F8">
        <w:t xml:space="preserve">New </w:t>
      </w:r>
      <w:proofErr w:type="spellStart"/>
      <w:r w:rsidRPr="004141F8">
        <w:t>order</w:t>
      </w:r>
      <w:proofErr w:type="spellEnd"/>
      <w:r w:rsidRPr="004141F8">
        <w:t xml:space="preserve"> </w:t>
      </w:r>
      <w:proofErr w:type="spellStart"/>
      <w:r w:rsidRPr="004141F8">
        <w:t>for</w:t>
      </w:r>
      <w:proofErr w:type="spellEnd"/>
      <w:r w:rsidRPr="004141F8">
        <w:t xml:space="preserve"> e-</w:t>
      </w:r>
      <w:proofErr w:type="spellStart"/>
      <w:r w:rsidRPr="004141F8">
        <w:t>mobility</w:t>
      </w:r>
      <w:proofErr w:type="spellEnd"/>
      <w:r w:rsidRPr="004141F8">
        <w:t xml:space="preserve"> – 2017 </w:t>
      </w:r>
      <w:proofErr w:type="spellStart"/>
      <w:r w:rsidRPr="004141F8">
        <w:t>guidance</w:t>
      </w:r>
      <w:proofErr w:type="spellEnd"/>
      <w:r w:rsidRPr="004141F8">
        <w:t xml:space="preserve"> </w:t>
      </w:r>
      <w:proofErr w:type="spellStart"/>
      <w:r w:rsidRPr="004141F8">
        <w:t>raised</w:t>
      </w:r>
      <w:proofErr w:type="spellEnd"/>
      <w:r w:rsidRPr="004141F8">
        <w:t xml:space="preserve"> </w:t>
      </w:r>
      <w:proofErr w:type="spellStart"/>
      <w:r w:rsidRPr="004141F8">
        <w:t>again</w:t>
      </w:r>
      <w:proofErr w:type="spellEnd"/>
    </w:p>
    <w:p w:rsidR="004141F8" w:rsidRPr="004141F8" w:rsidRDefault="004141F8" w:rsidP="004141F8">
      <w:pPr>
        <w:pStyle w:val="MMVorspann"/>
        <w:rPr>
          <w:lang w:val="en-US"/>
        </w:rPr>
      </w:pPr>
      <w:r w:rsidRPr="004141F8">
        <w:rPr>
          <w:lang w:val="en-US"/>
        </w:rPr>
        <w:t xml:space="preserve">Nuremberg, 15 November 2017 – Leoni, the leading </w:t>
      </w:r>
      <w:r>
        <w:rPr>
          <w:lang w:val="en-US"/>
        </w:rPr>
        <w:t xml:space="preserve">European </w:t>
      </w:r>
      <w:r w:rsidRPr="004141F8">
        <w:rPr>
          <w:lang w:val="en-US"/>
        </w:rPr>
        <w:t>provider of cables and cable systems to the automotive sector and other industries, continued its successful business performance in the 3</w:t>
      </w:r>
      <w:r w:rsidRPr="004141F8">
        <w:rPr>
          <w:vertAlign w:val="superscript"/>
          <w:lang w:val="en-US"/>
        </w:rPr>
        <w:t>rd</w:t>
      </w:r>
      <w:r w:rsidRPr="004141F8">
        <w:rPr>
          <w:lang w:val="en-US"/>
        </w:rPr>
        <w:t xml:space="preserve"> quarter with consolidated sales of EUR 1.19 billion (previous year: EUR 1.07 billion) and consolidated EBIT of EUR 46.4 million (previous year incl</w:t>
      </w:r>
      <w:r>
        <w:rPr>
          <w:lang w:val="en-US"/>
        </w:rPr>
        <w:t>.</w:t>
      </w:r>
      <w:r w:rsidRPr="004141F8">
        <w:rPr>
          <w:lang w:val="en-US"/>
        </w:rPr>
        <w:t xml:space="preserve"> the charge due to the fraud case: </w:t>
      </w:r>
      <w:r>
        <w:rPr>
          <w:lang w:val="en-US"/>
        </w:rPr>
        <w:t xml:space="preserve">a </w:t>
      </w:r>
      <w:r w:rsidRPr="004141F8">
        <w:rPr>
          <w:lang w:val="en-US"/>
        </w:rPr>
        <w:t xml:space="preserve">loss of EUR 12.7 million).  This prompted an adjustment to the full-year forecast: From today’s perspective, consolidated sales will have risen to about EUR 4.8 billion (previous forecast: EUR 4.6 billion; previous year: EUR 4.4 billion) and consolidated earnings before interest and taxes (EBIT) will be up to </w:t>
      </w:r>
      <w:r>
        <w:rPr>
          <w:lang w:val="en-US"/>
        </w:rPr>
        <w:t xml:space="preserve">approximately </w:t>
      </w:r>
      <w:r w:rsidRPr="004141F8">
        <w:rPr>
          <w:lang w:val="en-US"/>
        </w:rPr>
        <w:t xml:space="preserve">EUR 220 million (previous forecast: EUR 190 to 210 million; previous year: EUR 78.1 million).     </w:t>
      </w:r>
    </w:p>
    <w:p w:rsidR="004141F8" w:rsidRPr="004141F8" w:rsidRDefault="004141F8" w:rsidP="007629D5">
      <w:pPr>
        <w:pStyle w:val="MMFlietext"/>
      </w:pPr>
      <w:r w:rsidRPr="004141F8">
        <w:t xml:space="preserve">Leoni’s consolidated sales were at the upper end of expectations in the first nine months of 2017 with an increase of approximately 10 percent year on year to EUR 3.63 billion (previous year: EUR 3.31 billion). The higher copper price than in the previous year contributed to the sales growth. Nine-month EBIT was up from EUR 49.2 million to EUR 183.1 million. This was due to additional profit contributions from more sales, operational improvements in the Wiring Systems Division as well as non-recurring factors: in particular, the disposal of the domestic and electrical appliance cables business as well as insurance compensation exerted a beneficial effect. By contrast, substantial restructuring expenses and a fraud case affected the same period in 2016.  </w:t>
      </w:r>
    </w:p>
    <w:p w:rsidR="004141F8" w:rsidRPr="004141F8" w:rsidRDefault="004141F8" w:rsidP="004141F8">
      <w:pPr>
        <w:pStyle w:val="MMFlietext"/>
      </w:pPr>
      <w:r w:rsidRPr="004141F8">
        <w:t xml:space="preserve">Adjusted for these factors, EBIT for the period from January through September 2017 was likewise at the upper end of expectations and increased by nearly one third to EUR 163.2 million (previous year: EUR 123.6 million). The net income for the period of the Leoni Group, which employed 83,951 people worldwide at the end of September (previous year: 77,013), rose </w:t>
      </w:r>
      <w:r w:rsidRPr="004141F8">
        <w:lastRenderedPageBreak/>
        <w:t xml:space="preserve">accordingly to EUR 120.5 million in the first nine months (previous year: EUR 11.6 million). </w:t>
      </w:r>
    </w:p>
    <w:p w:rsidR="004141F8" w:rsidRPr="004141F8" w:rsidRDefault="004141F8" w:rsidP="004141F8">
      <w:pPr>
        <w:pStyle w:val="MMZwischenberschrift"/>
        <w:rPr>
          <w:lang w:val="en-US"/>
        </w:rPr>
      </w:pPr>
      <w:r w:rsidRPr="004141F8">
        <w:rPr>
          <w:lang w:val="en-US"/>
        </w:rPr>
        <w:t xml:space="preserve">WSD wins important contract in the </w:t>
      </w:r>
      <w:proofErr w:type="spellStart"/>
      <w:r w:rsidRPr="004141F8">
        <w:rPr>
          <w:lang w:val="en-US"/>
        </w:rPr>
        <w:t>electromobility</w:t>
      </w:r>
      <w:proofErr w:type="spellEnd"/>
      <w:r w:rsidRPr="004141F8">
        <w:rPr>
          <w:lang w:val="en-US"/>
        </w:rPr>
        <w:t xml:space="preserve"> business</w:t>
      </w:r>
    </w:p>
    <w:p w:rsidR="004141F8" w:rsidRPr="004141F8" w:rsidRDefault="004141F8" w:rsidP="004141F8">
      <w:pPr>
        <w:pStyle w:val="MMFlietext"/>
      </w:pPr>
      <w:r w:rsidRPr="004141F8">
        <w:t>The Wiring Systems Division (WSD) increased its sales by nearly</w:t>
      </w:r>
      <w:r w:rsidR="007629D5">
        <w:t xml:space="preserve"> </w:t>
      </w:r>
      <w:r w:rsidRPr="004141F8">
        <w:t xml:space="preserve">15 percent to EUR 732.2 million in the third quarter of 2017 (previous year: EUR 638.4 million) and by about 12 percent to EUR 2.24 billion in the first nine months (previous year: EUR 2.01 billion). Its business in Asia as well as with the international commercial vehicle industry performed especially well. The segment’s EBIT was up from EUR 4.5 million in the same quarter of the previous year to EUR 23.1 million and from EUR 26.6 million to EUR 87.2 million over the entire reporting period. Order receipts were also dynamic: new orders worth about EUR 4.5 billion were booked in the first nine months. The third quarter accounted for approximately EUR 1.6 billion, of which nearly EUR 600 million involved high-voltage cable harnesses for electric vehicles. A contract covering all the wiring for the new e-mobility platform of a European carmaker that operates worldwide was of particular importance to the division’s </w:t>
      </w:r>
      <w:proofErr w:type="spellStart"/>
      <w:r w:rsidRPr="004141F8">
        <w:t>electromobility</w:t>
      </w:r>
      <w:proofErr w:type="spellEnd"/>
      <w:r w:rsidRPr="004141F8">
        <w:t xml:space="preserve"> business.</w:t>
      </w:r>
    </w:p>
    <w:p w:rsidR="004141F8" w:rsidRPr="004141F8" w:rsidRDefault="004141F8" w:rsidP="004141F8">
      <w:pPr>
        <w:pStyle w:val="MMZwischenberschrift"/>
        <w:rPr>
          <w:lang w:val="en-US"/>
        </w:rPr>
      </w:pPr>
      <w:r w:rsidRPr="004141F8">
        <w:rPr>
          <w:lang w:val="en-US"/>
        </w:rPr>
        <w:t>WCS generates sales and earnings increases</w:t>
      </w:r>
    </w:p>
    <w:p w:rsidR="003E21B1" w:rsidRPr="005056DF" w:rsidRDefault="004141F8" w:rsidP="004141F8">
      <w:pPr>
        <w:pStyle w:val="MMFlietext"/>
        <w:rPr>
          <w:lang w:val="en-GB"/>
        </w:rPr>
      </w:pPr>
      <w:r w:rsidRPr="004141F8">
        <w:t xml:space="preserve">In the Wire &amp; Cable Solutions (WCS) Division, sales were up by more than 5 percent to EUR 455.9 million from July through September 2017 (previous year: EUR 433.1 million) and by approximately 7 percent to EUR 1.39 billion in the first three quarters (previous year: EUR 1.30 billion). There was growth in both the automotive and industrial businesses, while the increased price of copper also exerted a positive effect. The WCS Division's </w:t>
      </w:r>
      <w:r w:rsidR="007629D5">
        <w:t xml:space="preserve">EBIT </w:t>
      </w:r>
      <w:r w:rsidRPr="004141F8">
        <w:t>w</w:t>
      </w:r>
      <w:r w:rsidR="007629D5">
        <w:t>as</w:t>
      </w:r>
      <w:r w:rsidRPr="004141F8">
        <w:t xml:space="preserve"> up from EUR 22.8 million to EUR 23.0 million in the third quarter. This therefore more than compensated in terms of both sales and EBIT for the absence of the domestic and electrical appliance cables business. Including the positive effect on income from the sale of said domestic and electrical appliance cables business, the division recorded a strong EBIT increase to EUR 90.9 million in the nine-month period of 2017 (previous year: EUR 62.5 million).</w:t>
      </w:r>
    </w:p>
    <w:p w:rsidR="003E21B1" w:rsidRPr="007629D5" w:rsidRDefault="000E4FB5" w:rsidP="004141F8">
      <w:pPr>
        <w:pStyle w:val="MMFlietext"/>
        <w:rPr>
          <w:i/>
        </w:rPr>
      </w:pPr>
      <w:r w:rsidRPr="007629D5">
        <w:rPr>
          <w:i/>
        </w:rPr>
        <w:t>(4,</w:t>
      </w:r>
      <w:r w:rsidR="007629D5">
        <w:rPr>
          <w:i/>
        </w:rPr>
        <w:t>167</w:t>
      </w:r>
      <w:r w:rsidR="00366FE5" w:rsidRPr="007629D5">
        <w:rPr>
          <w:i/>
        </w:rPr>
        <w:t xml:space="preserve"> </w:t>
      </w:r>
      <w:r w:rsidRPr="007629D5">
        <w:rPr>
          <w:i/>
        </w:rPr>
        <w:t>characters incl. blanks)</w:t>
      </w:r>
    </w:p>
    <w:p w:rsidR="00B84EE5" w:rsidRPr="005056DF" w:rsidRDefault="003E21B1" w:rsidP="003E21B1">
      <w:pPr>
        <w:pStyle w:val="MMKurzprofilberschrift"/>
        <w:spacing w:after="120"/>
        <w:rPr>
          <w:lang w:val="en-GB"/>
        </w:rPr>
      </w:pPr>
      <w:r w:rsidRPr="005056DF">
        <w:rPr>
          <w:lang w:val="en-GB"/>
        </w:rPr>
        <w:lastRenderedPageBreak/>
        <w:t>Leoni performance overview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1025"/>
        <w:gridCol w:w="1025"/>
        <w:gridCol w:w="1026"/>
        <w:gridCol w:w="1025"/>
        <w:gridCol w:w="1025"/>
        <w:gridCol w:w="1026"/>
      </w:tblGrid>
      <w:tr w:rsidR="0053287E" w:rsidRPr="005056DF" w:rsidTr="008C53B9">
        <w:tc>
          <w:tcPr>
            <w:tcW w:w="2948" w:type="dxa"/>
            <w:vMerge w:val="restart"/>
            <w:shd w:val="clear" w:color="auto" w:fill="auto"/>
            <w:vAlign w:val="center"/>
          </w:tcPr>
          <w:p w:rsidR="0053287E" w:rsidRPr="005056DF" w:rsidRDefault="00B84EE5" w:rsidP="00433392">
            <w:pPr>
              <w:tabs>
                <w:tab w:val="left" w:pos="8505"/>
              </w:tabs>
              <w:rPr>
                <w:rFonts w:ascii="Arial" w:hAnsi="Arial" w:cs="Arial"/>
                <w:b/>
                <w:sz w:val="18"/>
                <w:szCs w:val="18"/>
                <w:lang w:val="en-GB"/>
              </w:rPr>
            </w:pPr>
            <w:r w:rsidRPr="005056DF">
              <w:rPr>
                <w:rFonts w:ascii="Arial" w:hAnsi="Arial" w:cs="Arial"/>
                <w:b/>
                <w:sz w:val="18"/>
                <w:szCs w:val="18"/>
                <w:lang w:val="en-GB"/>
              </w:rPr>
              <w:t>Group key figures</w:t>
            </w:r>
          </w:p>
          <w:p w:rsidR="0053287E" w:rsidRPr="005056DF" w:rsidRDefault="0053287E" w:rsidP="00433392">
            <w:pPr>
              <w:tabs>
                <w:tab w:val="left" w:pos="8505"/>
              </w:tabs>
              <w:rPr>
                <w:rFonts w:ascii="Arial" w:hAnsi="Arial" w:cs="Arial"/>
                <w:b/>
                <w:sz w:val="18"/>
                <w:szCs w:val="18"/>
                <w:lang w:val="en-GB"/>
              </w:rPr>
            </w:pPr>
          </w:p>
        </w:tc>
        <w:tc>
          <w:tcPr>
            <w:tcW w:w="3076" w:type="dxa"/>
            <w:gridSpan w:val="3"/>
            <w:shd w:val="clear" w:color="auto" w:fill="auto"/>
            <w:vAlign w:val="center"/>
          </w:tcPr>
          <w:p w:rsidR="0053287E" w:rsidRPr="00F35F4F" w:rsidRDefault="004141F8" w:rsidP="004141F8">
            <w:pPr>
              <w:tabs>
                <w:tab w:val="left" w:pos="8505"/>
              </w:tabs>
              <w:jc w:val="center"/>
              <w:rPr>
                <w:rFonts w:ascii="Arial" w:hAnsi="Arial" w:cs="Arial"/>
                <w:b/>
                <w:sz w:val="18"/>
                <w:szCs w:val="18"/>
                <w:lang w:val="en-GB"/>
              </w:rPr>
            </w:pPr>
            <w:r w:rsidRPr="00F35F4F">
              <w:rPr>
                <w:rFonts w:ascii="Arial" w:hAnsi="Arial" w:cs="Arial"/>
                <w:b/>
                <w:sz w:val="18"/>
                <w:szCs w:val="18"/>
                <w:lang w:val="en-GB"/>
              </w:rPr>
              <w:t>3rd</w:t>
            </w:r>
            <w:r w:rsidR="00787B3E" w:rsidRPr="00F35F4F">
              <w:rPr>
                <w:rFonts w:ascii="Arial" w:hAnsi="Arial" w:cs="Arial"/>
                <w:b/>
                <w:sz w:val="18"/>
                <w:szCs w:val="18"/>
                <w:lang w:val="en-GB"/>
              </w:rPr>
              <w:t xml:space="preserve"> quarter</w:t>
            </w:r>
          </w:p>
        </w:tc>
        <w:tc>
          <w:tcPr>
            <w:tcW w:w="3076" w:type="dxa"/>
            <w:gridSpan w:val="3"/>
            <w:shd w:val="clear" w:color="auto" w:fill="auto"/>
            <w:vAlign w:val="center"/>
          </w:tcPr>
          <w:p w:rsidR="0053287E" w:rsidRPr="00F35F4F" w:rsidRDefault="0053287E" w:rsidP="00F35F4F">
            <w:pPr>
              <w:tabs>
                <w:tab w:val="left" w:pos="8505"/>
              </w:tabs>
              <w:ind w:right="113"/>
              <w:jc w:val="center"/>
              <w:rPr>
                <w:rFonts w:ascii="Arial" w:hAnsi="Arial" w:cs="Arial"/>
                <w:b/>
                <w:sz w:val="18"/>
                <w:szCs w:val="18"/>
                <w:lang w:val="en-GB"/>
              </w:rPr>
            </w:pPr>
            <w:r w:rsidRPr="00F35F4F">
              <w:rPr>
                <w:rFonts w:ascii="Arial" w:hAnsi="Arial" w:cs="Arial"/>
                <w:b/>
                <w:sz w:val="18"/>
                <w:szCs w:val="18"/>
                <w:lang w:val="en-GB"/>
              </w:rPr>
              <w:t>1</w:t>
            </w:r>
            <w:r w:rsidR="00787B3E" w:rsidRPr="00F35F4F">
              <w:rPr>
                <w:rFonts w:ascii="Arial" w:hAnsi="Arial" w:cs="Arial"/>
                <w:b/>
                <w:sz w:val="18"/>
                <w:szCs w:val="18"/>
                <w:lang w:val="en-GB"/>
              </w:rPr>
              <w:t xml:space="preserve">st </w:t>
            </w:r>
            <w:r w:rsidR="00F35F4F" w:rsidRPr="00F35F4F">
              <w:rPr>
                <w:rFonts w:ascii="Arial" w:hAnsi="Arial" w:cs="Arial"/>
                <w:b/>
                <w:sz w:val="18"/>
                <w:szCs w:val="18"/>
                <w:lang w:val="en-GB"/>
              </w:rPr>
              <w:t>to 3rd quarter</w:t>
            </w:r>
          </w:p>
        </w:tc>
      </w:tr>
      <w:tr w:rsidR="0053287E" w:rsidRPr="005056DF" w:rsidTr="008C53B9">
        <w:tc>
          <w:tcPr>
            <w:tcW w:w="2948" w:type="dxa"/>
            <w:vMerge/>
            <w:vAlign w:val="center"/>
          </w:tcPr>
          <w:p w:rsidR="0053287E" w:rsidRPr="005056DF" w:rsidRDefault="0053287E" w:rsidP="00433392">
            <w:pPr>
              <w:tabs>
                <w:tab w:val="left" w:pos="8505"/>
              </w:tabs>
              <w:rPr>
                <w:rFonts w:ascii="Arial" w:hAnsi="Arial" w:cs="Arial"/>
                <w:b/>
                <w:sz w:val="18"/>
                <w:szCs w:val="18"/>
                <w:lang w:val="en-GB"/>
              </w:rPr>
            </w:pPr>
          </w:p>
        </w:tc>
        <w:tc>
          <w:tcPr>
            <w:tcW w:w="1025" w:type="dxa"/>
            <w:noWrap/>
            <w:tcMar>
              <w:left w:w="28" w:type="dxa"/>
              <w:right w:w="28" w:type="dxa"/>
            </w:tcMar>
            <w:vAlign w:val="center"/>
          </w:tcPr>
          <w:p w:rsidR="0053287E" w:rsidRPr="005056DF" w:rsidRDefault="0053287E" w:rsidP="008C53B9">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8C53B9">
              <w:rPr>
                <w:rFonts w:ascii="Arial" w:hAnsi="Arial" w:cs="Arial"/>
                <w:b/>
                <w:sz w:val="18"/>
                <w:szCs w:val="18"/>
                <w:lang w:val="en-GB"/>
              </w:rPr>
              <w:t>7</w:t>
            </w:r>
          </w:p>
        </w:tc>
        <w:tc>
          <w:tcPr>
            <w:tcW w:w="1025" w:type="dxa"/>
            <w:tcMar>
              <w:left w:w="28" w:type="dxa"/>
              <w:right w:w="28" w:type="dxa"/>
            </w:tcMar>
            <w:vAlign w:val="center"/>
          </w:tcPr>
          <w:p w:rsidR="0053287E" w:rsidRPr="005056DF" w:rsidRDefault="0053287E" w:rsidP="008C53B9">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8C53B9">
              <w:rPr>
                <w:rFonts w:ascii="Arial" w:hAnsi="Arial" w:cs="Arial"/>
                <w:b/>
                <w:sz w:val="18"/>
                <w:szCs w:val="18"/>
                <w:lang w:val="en-GB"/>
              </w:rPr>
              <w:t>6</w:t>
            </w:r>
          </w:p>
        </w:tc>
        <w:tc>
          <w:tcPr>
            <w:tcW w:w="1026" w:type="dxa"/>
            <w:tcMar>
              <w:left w:w="28" w:type="dxa"/>
              <w:right w:w="28" w:type="dxa"/>
            </w:tcMar>
          </w:tcPr>
          <w:p w:rsidR="0053287E" w:rsidRPr="005056DF" w:rsidRDefault="00787B3E" w:rsidP="00787B3E">
            <w:pPr>
              <w:tabs>
                <w:tab w:val="left" w:pos="8505"/>
              </w:tabs>
              <w:jc w:val="center"/>
              <w:rPr>
                <w:rFonts w:ascii="Arial" w:hAnsi="Arial" w:cs="Arial"/>
                <w:b/>
                <w:sz w:val="18"/>
                <w:szCs w:val="18"/>
                <w:lang w:val="en-GB"/>
              </w:rPr>
            </w:pPr>
            <w:r w:rsidRPr="005056DF">
              <w:rPr>
                <w:rFonts w:ascii="Arial" w:hAnsi="Arial" w:cs="Arial"/>
                <w:b/>
                <w:sz w:val="18"/>
                <w:szCs w:val="18"/>
                <w:lang w:val="en-GB"/>
              </w:rPr>
              <w:t>Change</w:t>
            </w:r>
          </w:p>
        </w:tc>
        <w:tc>
          <w:tcPr>
            <w:tcW w:w="1025" w:type="dxa"/>
            <w:tcMar>
              <w:left w:w="28" w:type="dxa"/>
              <w:right w:w="28" w:type="dxa"/>
            </w:tcMar>
            <w:vAlign w:val="center"/>
          </w:tcPr>
          <w:p w:rsidR="0053287E" w:rsidRPr="005056DF" w:rsidRDefault="0053287E" w:rsidP="008C53B9">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8C53B9">
              <w:rPr>
                <w:rFonts w:ascii="Arial" w:hAnsi="Arial" w:cs="Arial"/>
                <w:b/>
                <w:sz w:val="18"/>
                <w:szCs w:val="18"/>
                <w:lang w:val="en-GB"/>
              </w:rPr>
              <w:t>7</w:t>
            </w:r>
          </w:p>
        </w:tc>
        <w:tc>
          <w:tcPr>
            <w:tcW w:w="1025" w:type="dxa"/>
            <w:tcMar>
              <w:left w:w="28" w:type="dxa"/>
              <w:right w:w="28" w:type="dxa"/>
            </w:tcMar>
            <w:vAlign w:val="center"/>
          </w:tcPr>
          <w:p w:rsidR="0053287E" w:rsidRPr="005056DF" w:rsidRDefault="0053287E" w:rsidP="00F35F4F">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F35F4F">
              <w:rPr>
                <w:rFonts w:ascii="Arial" w:hAnsi="Arial" w:cs="Arial"/>
                <w:b/>
                <w:sz w:val="18"/>
                <w:szCs w:val="18"/>
                <w:lang w:val="en-GB"/>
              </w:rPr>
              <w:t>6</w:t>
            </w:r>
          </w:p>
        </w:tc>
        <w:tc>
          <w:tcPr>
            <w:tcW w:w="1026" w:type="dxa"/>
            <w:tcMar>
              <w:left w:w="28" w:type="dxa"/>
              <w:right w:w="28" w:type="dxa"/>
            </w:tcMar>
            <w:vAlign w:val="center"/>
          </w:tcPr>
          <w:p w:rsidR="0053287E" w:rsidRPr="005056DF" w:rsidRDefault="00787B3E" w:rsidP="00787B3E">
            <w:pPr>
              <w:tabs>
                <w:tab w:val="left" w:pos="8505"/>
              </w:tabs>
              <w:jc w:val="center"/>
              <w:rPr>
                <w:rFonts w:ascii="Arial" w:hAnsi="Arial" w:cs="Arial"/>
                <w:b/>
                <w:sz w:val="18"/>
                <w:szCs w:val="18"/>
                <w:lang w:val="en-GB"/>
              </w:rPr>
            </w:pPr>
            <w:r w:rsidRPr="005056DF">
              <w:rPr>
                <w:rFonts w:ascii="Arial" w:hAnsi="Arial" w:cs="Arial"/>
                <w:b/>
                <w:sz w:val="18"/>
                <w:szCs w:val="18"/>
                <w:lang w:val="en-GB"/>
              </w:rPr>
              <w:t>Change</w:t>
            </w:r>
          </w:p>
        </w:tc>
      </w:tr>
      <w:tr w:rsidR="007629D5" w:rsidRPr="005056DF" w:rsidTr="008C53B9">
        <w:trPr>
          <w:trHeight w:val="284"/>
        </w:trPr>
        <w:tc>
          <w:tcPr>
            <w:tcW w:w="2948" w:type="dxa"/>
            <w:vAlign w:val="center"/>
          </w:tcPr>
          <w:p w:rsidR="007629D5" w:rsidRPr="005056DF" w:rsidRDefault="007629D5" w:rsidP="00433392">
            <w:pPr>
              <w:tabs>
                <w:tab w:val="left" w:pos="8505"/>
              </w:tabs>
              <w:rPr>
                <w:lang w:val="en-GB"/>
              </w:rPr>
            </w:pPr>
            <w:r w:rsidRPr="005056DF">
              <w:rPr>
                <w:rFonts w:ascii="Arial" w:hAnsi="Arial"/>
                <w:sz w:val="18"/>
                <w:lang w:val="en-GB"/>
              </w:rPr>
              <w:t>Sales [€ million]</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1,188.1</w:t>
            </w:r>
          </w:p>
        </w:tc>
        <w:tc>
          <w:tcPr>
            <w:tcW w:w="1025" w:type="dxa"/>
            <w:tcMar>
              <w:left w:w="28" w:type="dxa"/>
              <w:right w:w="28" w:type="dxa"/>
            </w:tcMar>
            <w:vAlign w:val="bottom"/>
          </w:tcPr>
          <w:p w:rsidR="007629D5"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1,071.5</w:t>
            </w:r>
          </w:p>
        </w:tc>
        <w:tc>
          <w:tcPr>
            <w:tcW w:w="1026" w:type="dxa"/>
            <w:tcMar>
              <w:left w:w="28" w:type="dxa"/>
              <w:right w:w="28" w:type="dxa"/>
            </w:tcMar>
            <w:vAlign w:val="bottom"/>
          </w:tcPr>
          <w:p w:rsidR="007629D5" w:rsidRPr="00B20764" w:rsidRDefault="007629D5" w:rsidP="00F35F4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10</w:t>
            </w:r>
            <w:r w:rsidR="00F35F4F">
              <w:rPr>
                <w:rFonts w:ascii="Arial" w:hAnsi="Arial" w:cs="Arial"/>
                <w:sz w:val="18"/>
                <w:szCs w:val="18"/>
                <w:lang w:val="it-IT"/>
              </w:rPr>
              <w:t>.</w:t>
            </w:r>
            <w:r>
              <w:rPr>
                <w:rFonts w:ascii="Arial" w:hAnsi="Arial" w:cs="Arial"/>
                <w:sz w:val="18"/>
                <w:szCs w:val="18"/>
                <w:lang w:val="it-IT"/>
              </w:rPr>
              <w:t>9 %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3,629.6</w:t>
            </w:r>
          </w:p>
        </w:tc>
        <w:tc>
          <w:tcPr>
            <w:tcW w:w="1025" w:type="dxa"/>
            <w:tcMar>
              <w:left w:w="28" w:type="dxa"/>
              <w:right w:w="28" w:type="dxa"/>
            </w:tcMar>
            <w:vAlign w:val="bottom"/>
          </w:tcPr>
          <w:p w:rsidR="007629D5"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3,309.0</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9.7 %</w:t>
            </w:r>
          </w:p>
        </w:tc>
      </w:tr>
      <w:tr w:rsidR="007629D5" w:rsidRPr="007629D5" w:rsidTr="008C53B9">
        <w:trPr>
          <w:trHeight w:val="284"/>
        </w:trPr>
        <w:tc>
          <w:tcPr>
            <w:tcW w:w="2948" w:type="dxa"/>
            <w:vAlign w:val="center"/>
          </w:tcPr>
          <w:p w:rsidR="007629D5" w:rsidRPr="005056DF" w:rsidRDefault="007629D5" w:rsidP="00433392">
            <w:pPr>
              <w:tabs>
                <w:tab w:val="left" w:pos="8505"/>
              </w:tabs>
              <w:rPr>
                <w:lang w:val="en-GB"/>
              </w:rPr>
            </w:pPr>
            <w:r w:rsidRPr="005056DF">
              <w:rPr>
                <w:rFonts w:ascii="Arial" w:hAnsi="Arial"/>
                <w:sz w:val="18"/>
                <w:lang w:val="en-GB"/>
              </w:rPr>
              <w:t>EBITDA [€ million]</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82.9</w:t>
            </w:r>
          </w:p>
        </w:tc>
        <w:tc>
          <w:tcPr>
            <w:tcW w:w="1025" w:type="dxa"/>
            <w:tcMar>
              <w:left w:w="28" w:type="dxa"/>
              <w:right w:w="28" w:type="dxa"/>
            </w:tcMar>
            <w:vAlign w:val="bottom"/>
          </w:tcPr>
          <w:p w:rsidR="007629D5"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23.6</w:t>
            </w:r>
          </w:p>
        </w:tc>
        <w:tc>
          <w:tcPr>
            <w:tcW w:w="1026" w:type="dxa"/>
            <w:tcMar>
              <w:left w:w="28" w:type="dxa"/>
              <w:right w:w="28" w:type="dxa"/>
            </w:tcMar>
            <w:vAlign w:val="bottom"/>
          </w:tcPr>
          <w:p w:rsidR="007629D5" w:rsidRPr="00837A04" w:rsidRDefault="007629D5" w:rsidP="00F35F4F">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294.8</w:t>
            </w:r>
          </w:p>
        </w:tc>
        <w:tc>
          <w:tcPr>
            <w:tcW w:w="1025" w:type="dxa"/>
            <w:tcMar>
              <w:left w:w="28" w:type="dxa"/>
              <w:right w:w="28" w:type="dxa"/>
            </w:tcMar>
            <w:vAlign w:val="bottom"/>
          </w:tcPr>
          <w:p w:rsidR="007629D5"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159.1</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 xml:space="preserve">85.3 % </w:t>
            </w:r>
          </w:p>
        </w:tc>
      </w:tr>
      <w:tr w:rsidR="007629D5" w:rsidRPr="007629D5" w:rsidTr="008C53B9">
        <w:trPr>
          <w:trHeight w:val="284"/>
        </w:trPr>
        <w:tc>
          <w:tcPr>
            <w:tcW w:w="2948" w:type="dxa"/>
            <w:vAlign w:val="center"/>
          </w:tcPr>
          <w:p w:rsidR="007629D5" w:rsidRPr="005056DF" w:rsidRDefault="007629D5" w:rsidP="00433392">
            <w:pPr>
              <w:tabs>
                <w:tab w:val="left" w:pos="8505"/>
              </w:tabs>
              <w:rPr>
                <w:lang w:val="en-GB"/>
              </w:rPr>
            </w:pPr>
            <w:r w:rsidRPr="005056DF">
              <w:rPr>
                <w:rFonts w:ascii="Arial" w:hAnsi="Arial"/>
                <w:sz w:val="18"/>
                <w:lang w:val="en-GB"/>
              </w:rPr>
              <w:t>EBIT [€ million]</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46.4</w:t>
            </w:r>
          </w:p>
        </w:tc>
        <w:tc>
          <w:tcPr>
            <w:tcW w:w="1025" w:type="dxa"/>
            <w:tcMar>
              <w:left w:w="28" w:type="dxa"/>
              <w:right w:w="28" w:type="dxa"/>
            </w:tcMar>
            <w:vAlign w:val="bottom"/>
          </w:tcPr>
          <w:p w:rsidR="007629D5" w:rsidRDefault="00F35F4F" w:rsidP="00F35F4F">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7629D5">
              <w:rPr>
                <w:rFonts w:ascii="Arial" w:hAnsi="Arial" w:cs="Arial"/>
                <w:sz w:val="18"/>
                <w:szCs w:val="18"/>
                <w:lang w:val="it-IT"/>
              </w:rPr>
              <w:t>12.7</w:t>
            </w:r>
            <w:r>
              <w:rPr>
                <w:rFonts w:ascii="Arial" w:hAnsi="Arial" w:cs="Arial"/>
                <w:sz w:val="18"/>
                <w:szCs w:val="18"/>
                <w:lang w:val="it-IT"/>
              </w:rPr>
              <w:t>)</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183.1</w:t>
            </w:r>
          </w:p>
        </w:tc>
        <w:tc>
          <w:tcPr>
            <w:tcW w:w="1025" w:type="dxa"/>
            <w:tcMar>
              <w:left w:w="28" w:type="dxa"/>
              <w:right w:w="28" w:type="dxa"/>
            </w:tcMar>
            <w:vAlign w:val="bottom"/>
          </w:tcPr>
          <w:p w:rsidR="007629D5"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49.2</w:t>
            </w:r>
          </w:p>
        </w:tc>
        <w:tc>
          <w:tcPr>
            <w:tcW w:w="1026" w:type="dxa"/>
            <w:shd w:val="clear" w:color="auto" w:fill="auto"/>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 xml:space="preserve">&gt;100 % </w:t>
            </w:r>
          </w:p>
        </w:tc>
      </w:tr>
      <w:tr w:rsidR="007629D5" w:rsidRPr="007629D5" w:rsidTr="008C53B9">
        <w:trPr>
          <w:trHeight w:val="284"/>
        </w:trPr>
        <w:tc>
          <w:tcPr>
            <w:tcW w:w="2948" w:type="dxa"/>
            <w:vAlign w:val="center"/>
          </w:tcPr>
          <w:p w:rsidR="007629D5" w:rsidRPr="005056DF" w:rsidRDefault="007629D5" w:rsidP="008C53B9">
            <w:pPr>
              <w:tabs>
                <w:tab w:val="left" w:pos="8505"/>
              </w:tabs>
              <w:rPr>
                <w:lang w:val="en-GB"/>
              </w:rPr>
            </w:pPr>
            <w:r w:rsidRPr="005056DF">
              <w:rPr>
                <w:rFonts w:ascii="Arial" w:hAnsi="Arial"/>
                <w:sz w:val="18"/>
                <w:lang w:val="en-GB"/>
              </w:rPr>
              <w:t xml:space="preserve">Adjusted EBIT </w:t>
            </w:r>
            <w:r w:rsidRPr="008C53B9">
              <w:rPr>
                <w:rFonts w:ascii="Arial" w:hAnsi="Arial"/>
                <w:sz w:val="18"/>
                <w:vertAlign w:val="superscript"/>
                <w:lang w:val="en-GB"/>
              </w:rPr>
              <w:t>(1)</w:t>
            </w:r>
            <w:r w:rsidRPr="005056DF">
              <w:rPr>
                <w:rFonts w:ascii="Arial" w:hAnsi="Arial"/>
                <w:sz w:val="18"/>
                <w:lang w:val="en-GB"/>
              </w:rPr>
              <w:t xml:space="preserve"> [€ million]</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49.2</w:t>
            </w:r>
          </w:p>
        </w:tc>
        <w:tc>
          <w:tcPr>
            <w:tcW w:w="1025" w:type="dxa"/>
            <w:tcMar>
              <w:left w:w="28" w:type="dxa"/>
              <w:right w:w="28" w:type="dxa"/>
            </w:tcMar>
            <w:vAlign w:val="bottom"/>
          </w:tcPr>
          <w:p w:rsidR="007629D5" w:rsidRPr="007629D5" w:rsidRDefault="007629D5" w:rsidP="007629D5">
            <w:pPr>
              <w:tabs>
                <w:tab w:val="left" w:pos="8505"/>
              </w:tabs>
              <w:spacing w:line="276" w:lineRule="auto"/>
              <w:jc w:val="center"/>
              <w:rPr>
                <w:rFonts w:ascii="Arial" w:hAnsi="Arial" w:cs="Arial"/>
                <w:sz w:val="18"/>
                <w:szCs w:val="18"/>
                <w:lang w:val="en-US"/>
              </w:rPr>
            </w:pPr>
            <w:r w:rsidRPr="007629D5">
              <w:rPr>
                <w:rFonts w:ascii="Arial" w:hAnsi="Arial" w:cs="Arial"/>
                <w:sz w:val="18"/>
                <w:szCs w:val="18"/>
                <w:lang w:val="en-US"/>
              </w:rPr>
              <w:t>33</w:t>
            </w:r>
            <w:r>
              <w:rPr>
                <w:rFonts w:ascii="Arial" w:hAnsi="Arial" w:cs="Arial"/>
                <w:sz w:val="18"/>
                <w:szCs w:val="18"/>
                <w:lang w:val="en-US"/>
              </w:rPr>
              <w:t>.</w:t>
            </w:r>
            <w:r w:rsidRPr="007629D5">
              <w:rPr>
                <w:rFonts w:ascii="Arial" w:hAnsi="Arial" w:cs="Arial"/>
                <w:sz w:val="18"/>
                <w:szCs w:val="18"/>
                <w:lang w:val="en-US"/>
              </w:rPr>
              <w:t>3</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47.8 %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163.2</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123.6</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32.0 %</w:t>
            </w:r>
          </w:p>
        </w:tc>
      </w:tr>
      <w:tr w:rsidR="007629D5" w:rsidRPr="007629D5" w:rsidTr="008C53B9">
        <w:trPr>
          <w:trHeight w:val="284"/>
        </w:trPr>
        <w:tc>
          <w:tcPr>
            <w:tcW w:w="2948" w:type="dxa"/>
            <w:vAlign w:val="center"/>
          </w:tcPr>
          <w:p w:rsidR="007629D5" w:rsidRPr="005056DF" w:rsidRDefault="007629D5" w:rsidP="00433392">
            <w:pPr>
              <w:tabs>
                <w:tab w:val="left" w:pos="8505"/>
              </w:tabs>
              <w:rPr>
                <w:lang w:val="en-GB"/>
              </w:rPr>
            </w:pPr>
            <w:r w:rsidRPr="005056DF">
              <w:rPr>
                <w:rFonts w:ascii="Arial" w:hAnsi="Arial"/>
                <w:sz w:val="18"/>
                <w:lang w:val="en-GB"/>
              </w:rPr>
              <w:t>EBT [€ million]</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40.1</w:t>
            </w:r>
          </w:p>
        </w:tc>
        <w:tc>
          <w:tcPr>
            <w:tcW w:w="1025" w:type="dxa"/>
            <w:tcMar>
              <w:left w:w="28" w:type="dxa"/>
              <w:right w:w="28" w:type="dxa"/>
            </w:tcMar>
            <w:vAlign w:val="bottom"/>
          </w:tcPr>
          <w:p w:rsidR="007629D5" w:rsidRPr="007629D5" w:rsidRDefault="00F35F4F" w:rsidP="00F35F4F">
            <w:pPr>
              <w:tabs>
                <w:tab w:val="left" w:pos="8505"/>
              </w:tabs>
              <w:spacing w:line="276" w:lineRule="auto"/>
              <w:jc w:val="center"/>
              <w:rPr>
                <w:rFonts w:ascii="Arial" w:hAnsi="Arial" w:cs="Arial"/>
                <w:sz w:val="18"/>
                <w:szCs w:val="18"/>
                <w:lang w:val="en-US"/>
              </w:rPr>
            </w:pPr>
            <w:r>
              <w:rPr>
                <w:rFonts w:ascii="Arial" w:hAnsi="Arial" w:cs="Arial"/>
                <w:sz w:val="18"/>
                <w:szCs w:val="18"/>
                <w:lang w:val="en-US"/>
              </w:rPr>
              <w:t>(</w:t>
            </w:r>
            <w:r w:rsidR="007629D5" w:rsidRPr="007629D5">
              <w:rPr>
                <w:rFonts w:ascii="Arial" w:hAnsi="Arial" w:cs="Arial"/>
                <w:sz w:val="18"/>
                <w:szCs w:val="18"/>
                <w:lang w:val="en-US"/>
              </w:rPr>
              <w:t>18</w:t>
            </w:r>
            <w:r w:rsidR="007629D5">
              <w:rPr>
                <w:rFonts w:ascii="Arial" w:hAnsi="Arial" w:cs="Arial"/>
                <w:sz w:val="18"/>
                <w:szCs w:val="18"/>
                <w:lang w:val="en-US"/>
              </w:rPr>
              <w:t>.</w:t>
            </w:r>
            <w:r w:rsidR="007629D5" w:rsidRPr="007629D5">
              <w:rPr>
                <w:rFonts w:ascii="Arial" w:hAnsi="Arial" w:cs="Arial"/>
                <w:sz w:val="18"/>
                <w:szCs w:val="18"/>
                <w:lang w:val="en-US"/>
              </w:rPr>
              <w:t>6</w:t>
            </w:r>
            <w:r>
              <w:rPr>
                <w:rFonts w:ascii="Arial" w:hAnsi="Arial" w:cs="Arial"/>
                <w:sz w:val="18"/>
                <w:szCs w:val="18"/>
                <w:lang w:val="en-US"/>
              </w:rPr>
              <w:t>)</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164.0</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32.2</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r>
      <w:tr w:rsidR="007629D5" w:rsidRPr="007629D5" w:rsidTr="008C53B9">
        <w:trPr>
          <w:trHeight w:val="284"/>
        </w:trPr>
        <w:tc>
          <w:tcPr>
            <w:tcW w:w="2948" w:type="dxa"/>
            <w:vAlign w:val="center"/>
          </w:tcPr>
          <w:p w:rsidR="007629D5" w:rsidRPr="005056DF" w:rsidRDefault="007629D5" w:rsidP="00433392">
            <w:pPr>
              <w:tabs>
                <w:tab w:val="left" w:pos="8505"/>
              </w:tabs>
              <w:rPr>
                <w:lang w:val="en-GB"/>
              </w:rPr>
            </w:pPr>
            <w:r w:rsidRPr="005056DF">
              <w:rPr>
                <w:rFonts w:ascii="Arial" w:hAnsi="Arial"/>
                <w:sz w:val="18"/>
                <w:lang w:val="en-GB"/>
              </w:rPr>
              <w:t>Consolidated net income [€ million]</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28.3</w:t>
            </w:r>
          </w:p>
        </w:tc>
        <w:tc>
          <w:tcPr>
            <w:tcW w:w="1025" w:type="dxa"/>
            <w:tcMar>
              <w:left w:w="28" w:type="dxa"/>
              <w:right w:w="28" w:type="dxa"/>
            </w:tcMar>
            <w:vAlign w:val="bottom"/>
          </w:tcPr>
          <w:p w:rsidR="007629D5" w:rsidRPr="007629D5" w:rsidRDefault="00F35F4F" w:rsidP="00F35F4F">
            <w:pPr>
              <w:tabs>
                <w:tab w:val="left" w:pos="8505"/>
              </w:tabs>
              <w:spacing w:line="276" w:lineRule="auto"/>
              <w:jc w:val="center"/>
              <w:rPr>
                <w:rFonts w:ascii="Arial" w:hAnsi="Arial" w:cs="Arial"/>
                <w:sz w:val="18"/>
                <w:szCs w:val="18"/>
                <w:lang w:val="en-US"/>
              </w:rPr>
            </w:pPr>
            <w:r>
              <w:rPr>
                <w:rFonts w:ascii="Arial" w:hAnsi="Arial" w:cs="Arial"/>
                <w:sz w:val="18"/>
                <w:szCs w:val="18"/>
                <w:lang w:val="en-US"/>
              </w:rPr>
              <w:t>(</w:t>
            </w:r>
            <w:r w:rsidR="007629D5" w:rsidRPr="007629D5">
              <w:rPr>
                <w:rFonts w:ascii="Arial" w:hAnsi="Arial" w:cs="Arial"/>
                <w:sz w:val="18"/>
                <w:szCs w:val="18"/>
                <w:lang w:val="en-US"/>
              </w:rPr>
              <w:t>24</w:t>
            </w:r>
            <w:r w:rsidR="007629D5">
              <w:rPr>
                <w:rFonts w:ascii="Arial" w:hAnsi="Arial" w:cs="Arial"/>
                <w:sz w:val="18"/>
                <w:szCs w:val="18"/>
                <w:lang w:val="en-US"/>
              </w:rPr>
              <w:t>.</w:t>
            </w:r>
            <w:r w:rsidR="007629D5" w:rsidRPr="007629D5">
              <w:rPr>
                <w:rFonts w:ascii="Arial" w:hAnsi="Arial" w:cs="Arial"/>
                <w:sz w:val="18"/>
                <w:szCs w:val="18"/>
                <w:lang w:val="en-US"/>
              </w:rPr>
              <w:t>4</w:t>
            </w:r>
            <w:r>
              <w:rPr>
                <w:rFonts w:ascii="Arial" w:hAnsi="Arial" w:cs="Arial"/>
                <w:sz w:val="18"/>
                <w:szCs w:val="18"/>
                <w:lang w:val="en-US"/>
              </w:rPr>
              <w:t>)</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120.5</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11.6</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r>
      <w:tr w:rsidR="007629D5" w:rsidRPr="007629D5" w:rsidTr="008C53B9">
        <w:trPr>
          <w:trHeight w:val="284"/>
        </w:trPr>
        <w:tc>
          <w:tcPr>
            <w:tcW w:w="2948" w:type="dxa"/>
            <w:vAlign w:val="center"/>
          </w:tcPr>
          <w:p w:rsidR="007629D5" w:rsidRPr="005056DF" w:rsidRDefault="007629D5" w:rsidP="00433392">
            <w:pPr>
              <w:tabs>
                <w:tab w:val="left" w:pos="8505"/>
              </w:tabs>
              <w:rPr>
                <w:lang w:val="en-GB"/>
              </w:rPr>
            </w:pPr>
            <w:r w:rsidRPr="005056DF">
              <w:rPr>
                <w:rFonts w:ascii="Arial" w:hAnsi="Arial"/>
                <w:sz w:val="18"/>
                <w:lang w:val="en-GB"/>
              </w:rPr>
              <w:t>Capex incl. acquisitions [€ million]</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71.0</w:t>
            </w:r>
          </w:p>
        </w:tc>
        <w:tc>
          <w:tcPr>
            <w:tcW w:w="1025" w:type="dxa"/>
            <w:tcMar>
              <w:left w:w="28" w:type="dxa"/>
              <w:right w:w="28" w:type="dxa"/>
            </w:tcMar>
            <w:vAlign w:val="bottom"/>
          </w:tcPr>
          <w:p w:rsidR="007629D5" w:rsidRPr="007629D5" w:rsidRDefault="007629D5" w:rsidP="007629D5">
            <w:pPr>
              <w:tabs>
                <w:tab w:val="left" w:pos="8505"/>
              </w:tabs>
              <w:spacing w:line="276" w:lineRule="auto"/>
              <w:jc w:val="center"/>
              <w:rPr>
                <w:rFonts w:ascii="Arial" w:hAnsi="Arial" w:cs="Arial"/>
                <w:sz w:val="18"/>
                <w:szCs w:val="18"/>
                <w:lang w:val="en-US"/>
              </w:rPr>
            </w:pPr>
            <w:r w:rsidRPr="007629D5">
              <w:rPr>
                <w:rFonts w:ascii="Arial" w:hAnsi="Arial" w:cs="Arial"/>
                <w:sz w:val="18"/>
                <w:szCs w:val="18"/>
                <w:lang w:val="en-US"/>
              </w:rPr>
              <w:t>47</w:t>
            </w:r>
            <w:r>
              <w:rPr>
                <w:rFonts w:ascii="Arial" w:hAnsi="Arial" w:cs="Arial"/>
                <w:sz w:val="18"/>
                <w:szCs w:val="18"/>
                <w:lang w:val="en-US"/>
              </w:rPr>
              <w:t>.</w:t>
            </w:r>
            <w:r w:rsidRPr="007629D5">
              <w:rPr>
                <w:rFonts w:ascii="Arial" w:hAnsi="Arial" w:cs="Arial"/>
                <w:sz w:val="18"/>
                <w:szCs w:val="18"/>
                <w:lang w:val="en-US"/>
              </w:rPr>
              <w:t>8</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48.5 %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186.8</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138.7</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34.7</w:t>
            </w:r>
          </w:p>
        </w:tc>
      </w:tr>
      <w:tr w:rsidR="007629D5" w:rsidRPr="007629D5" w:rsidTr="008C53B9">
        <w:trPr>
          <w:trHeight w:val="284"/>
        </w:trPr>
        <w:tc>
          <w:tcPr>
            <w:tcW w:w="2948" w:type="dxa"/>
            <w:vAlign w:val="center"/>
          </w:tcPr>
          <w:p w:rsidR="007629D5" w:rsidRPr="005056DF" w:rsidRDefault="007629D5" w:rsidP="00433392">
            <w:pPr>
              <w:tabs>
                <w:tab w:val="left" w:pos="8505"/>
              </w:tabs>
              <w:rPr>
                <w:rFonts w:ascii="Arial" w:hAnsi="Arial"/>
                <w:sz w:val="18"/>
                <w:lang w:val="en-GB"/>
              </w:rPr>
            </w:pPr>
            <w:r w:rsidRPr="005056DF">
              <w:rPr>
                <w:rFonts w:ascii="Arial" w:hAnsi="Arial"/>
                <w:sz w:val="18"/>
                <w:lang w:val="en-GB"/>
              </w:rPr>
              <w:t>Equity ratio [%]</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33.1 %</w:t>
            </w:r>
          </w:p>
        </w:tc>
        <w:tc>
          <w:tcPr>
            <w:tcW w:w="1025" w:type="dxa"/>
            <w:tcMar>
              <w:left w:w="28" w:type="dxa"/>
              <w:right w:w="28" w:type="dxa"/>
            </w:tcMar>
            <w:vAlign w:val="bottom"/>
          </w:tcPr>
          <w:p w:rsidR="007629D5" w:rsidRPr="007629D5" w:rsidRDefault="007629D5" w:rsidP="007629D5">
            <w:pPr>
              <w:tabs>
                <w:tab w:val="left" w:pos="8505"/>
              </w:tabs>
              <w:spacing w:line="276" w:lineRule="auto"/>
              <w:jc w:val="center"/>
              <w:rPr>
                <w:rFonts w:ascii="Arial" w:hAnsi="Arial" w:cs="Arial"/>
                <w:sz w:val="18"/>
                <w:szCs w:val="18"/>
                <w:lang w:val="en-US"/>
              </w:rPr>
            </w:pPr>
            <w:r w:rsidRPr="007629D5">
              <w:rPr>
                <w:rFonts w:ascii="Arial" w:hAnsi="Arial" w:cs="Arial"/>
                <w:sz w:val="18"/>
                <w:szCs w:val="18"/>
                <w:lang w:val="en-US"/>
              </w:rPr>
              <w:t>31</w:t>
            </w:r>
            <w:r>
              <w:rPr>
                <w:rFonts w:ascii="Arial" w:hAnsi="Arial" w:cs="Arial"/>
                <w:sz w:val="18"/>
                <w:szCs w:val="18"/>
                <w:lang w:val="en-US"/>
              </w:rPr>
              <w:t>.</w:t>
            </w:r>
            <w:r w:rsidRPr="007629D5">
              <w:rPr>
                <w:rFonts w:ascii="Arial" w:hAnsi="Arial" w:cs="Arial"/>
                <w:sz w:val="18"/>
                <w:szCs w:val="18"/>
                <w:lang w:val="en-US"/>
              </w:rPr>
              <w:t>8 %</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33.1 %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31.8 %</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p>
        </w:tc>
      </w:tr>
      <w:tr w:rsidR="007629D5" w:rsidRPr="007629D5" w:rsidTr="008C53B9">
        <w:trPr>
          <w:trHeight w:val="284"/>
        </w:trPr>
        <w:tc>
          <w:tcPr>
            <w:tcW w:w="2948" w:type="dxa"/>
            <w:vAlign w:val="center"/>
          </w:tcPr>
          <w:p w:rsidR="007629D5" w:rsidRPr="005056DF" w:rsidRDefault="007629D5" w:rsidP="00433392">
            <w:pPr>
              <w:tabs>
                <w:tab w:val="left" w:pos="8505"/>
              </w:tabs>
              <w:rPr>
                <w:lang w:val="en-GB"/>
              </w:rPr>
            </w:pPr>
            <w:r w:rsidRPr="005056DF">
              <w:rPr>
                <w:rFonts w:ascii="Arial" w:hAnsi="Arial"/>
                <w:sz w:val="18"/>
                <w:lang w:val="en-GB"/>
              </w:rPr>
              <w:t>Earnings per share [€]</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0.89</w:t>
            </w:r>
          </w:p>
        </w:tc>
        <w:tc>
          <w:tcPr>
            <w:tcW w:w="1025" w:type="dxa"/>
            <w:tcMar>
              <w:left w:w="28" w:type="dxa"/>
              <w:right w:w="28" w:type="dxa"/>
            </w:tcMar>
            <w:vAlign w:val="bottom"/>
          </w:tcPr>
          <w:p w:rsidR="007629D5" w:rsidRPr="00B20764" w:rsidRDefault="00F35F4F"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7629D5">
              <w:rPr>
                <w:rFonts w:ascii="Arial" w:hAnsi="Arial" w:cs="Arial"/>
                <w:sz w:val="18"/>
                <w:szCs w:val="18"/>
                <w:lang w:val="it-IT"/>
              </w:rPr>
              <w:t>0.75</w:t>
            </w:r>
            <w:r>
              <w:rPr>
                <w:rFonts w:ascii="Arial" w:hAnsi="Arial" w:cs="Arial"/>
                <w:sz w:val="18"/>
                <w:szCs w:val="18"/>
                <w:lang w:val="it-IT"/>
              </w:rPr>
              <w:t>)</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3.71</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0.35</w:t>
            </w:r>
          </w:p>
        </w:tc>
        <w:tc>
          <w:tcPr>
            <w:tcW w:w="1026" w:type="dxa"/>
            <w:tcMar>
              <w:left w:w="28" w:type="dxa"/>
              <w:right w:w="28" w:type="dxa"/>
            </w:tcMar>
            <w:vAlign w:val="bottom"/>
          </w:tcPr>
          <w:p w:rsidR="007629D5" w:rsidRPr="00B20764" w:rsidRDefault="007629D5" w:rsidP="00894D95">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r>
      <w:tr w:rsidR="007629D5" w:rsidRPr="007629D5" w:rsidTr="008C53B9">
        <w:trPr>
          <w:trHeight w:val="284"/>
        </w:trPr>
        <w:tc>
          <w:tcPr>
            <w:tcW w:w="2948" w:type="dxa"/>
            <w:vAlign w:val="center"/>
          </w:tcPr>
          <w:p w:rsidR="007629D5" w:rsidRPr="005056DF" w:rsidRDefault="007629D5" w:rsidP="00F35F4F">
            <w:pPr>
              <w:tabs>
                <w:tab w:val="left" w:pos="8505"/>
              </w:tabs>
              <w:rPr>
                <w:lang w:val="en-GB"/>
              </w:rPr>
            </w:pPr>
            <w:r w:rsidRPr="005056DF">
              <w:rPr>
                <w:rFonts w:ascii="Arial" w:hAnsi="Arial"/>
                <w:sz w:val="18"/>
                <w:lang w:val="en-GB"/>
              </w:rPr>
              <w:t xml:space="preserve">Employees [as at 30 </w:t>
            </w:r>
            <w:r w:rsidR="00F35F4F">
              <w:rPr>
                <w:rFonts w:ascii="Arial" w:hAnsi="Arial"/>
                <w:sz w:val="18"/>
                <w:lang w:val="en-GB"/>
              </w:rPr>
              <w:t>September</w:t>
            </w:r>
            <w:r w:rsidRPr="005056DF">
              <w:rPr>
                <w:rFonts w:ascii="Arial" w:hAnsi="Arial"/>
                <w:sz w:val="18"/>
                <w:lang w:val="en-GB"/>
              </w:rPr>
              <w:t>]</w:t>
            </w:r>
          </w:p>
        </w:tc>
        <w:tc>
          <w:tcPr>
            <w:tcW w:w="1025" w:type="dxa"/>
            <w:noWrap/>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83,951</w:t>
            </w:r>
          </w:p>
        </w:tc>
        <w:tc>
          <w:tcPr>
            <w:tcW w:w="1025" w:type="dxa"/>
            <w:tcMar>
              <w:left w:w="28" w:type="dxa"/>
              <w:right w:w="28" w:type="dxa"/>
            </w:tcMar>
            <w:vAlign w:val="bottom"/>
          </w:tcPr>
          <w:p w:rsidR="007629D5" w:rsidRPr="007629D5" w:rsidRDefault="007629D5" w:rsidP="007629D5">
            <w:pPr>
              <w:tabs>
                <w:tab w:val="left" w:pos="8505"/>
              </w:tabs>
              <w:spacing w:line="276" w:lineRule="auto"/>
              <w:jc w:val="center"/>
              <w:rPr>
                <w:rFonts w:ascii="Arial" w:hAnsi="Arial" w:cs="Arial"/>
                <w:sz w:val="18"/>
                <w:szCs w:val="18"/>
                <w:lang w:val="en-US"/>
              </w:rPr>
            </w:pPr>
            <w:r w:rsidRPr="007629D5">
              <w:rPr>
                <w:rFonts w:ascii="Arial" w:hAnsi="Arial" w:cs="Arial"/>
                <w:sz w:val="18"/>
                <w:szCs w:val="18"/>
                <w:lang w:val="en-US"/>
              </w:rPr>
              <w:t>77</w:t>
            </w:r>
            <w:r>
              <w:rPr>
                <w:rFonts w:ascii="Arial" w:hAnsi="Arial" w:cs="Arial"/>
                <w:sz w:val="18"/>
                <w:szCs w:val="18"/>
                <w:lang w:val="en-US"/>
              </w:rPr>
              <w:t>,</w:t>
            </w:r>
            <w:r w:rsidRPr="007629D5">
              <w:rPr>
                <w:rFonts w:ascii="Arial" w:hAnsi="Arial" w:cs="Arial"/>
                <w:sz w:val="18"/>
                <w:szCs w:val="18"/>
                <w:lang w:val="en-US"/>
              </w:rPr>
              <w:t>013</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9.0 %</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83,951</w:t>
            </w:r>
          </w:p>
        </w:tc>
        <w:tc>
          <w:tcPr>
            <w:tcW w:w="1025"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77,013</w:t>
            </w:r>
          </w:p>
        </w:tc>
        <w:tc>
          <w:tcPr>
            <w:tcW w:w="1026" w:type="dxa"/>
            <w:tcMar>
              <w:left w:w="28" w:type="dxa"/>
              <w:right w:w="28" w:type="dxa"/>
            </w:tcMar>
            <w:vAlign w:val="bottom"/>
          </w:tcPr>
          <w:p w:rsidR="007629D5" w:rsidRPr="00B20764" w:rsidRDefault="007629D5" w:rsidP="007629D5">
            <w:pPr>
              <w:tabs>
                <w:tab w:val="left" w:pos="8505"/>
              </w:tabs>
              <w:spacing w:line="276" w:lineRule="auto"/>
              <w:jc w:val="center"/>
              <w:rPr>
                <w:rFonts w:ascii="Arial" w:hAnsi="Arial" w:cs="Arial"/>
                <w:sz w:val="18"/>
                <w:szCs w:val="18"/>
                <w:lang w:val="it-IT"/>
              </w:rPr>
            </w:pPr>
            <w:r>
              <w:rPr>
                <w:rFonts w:ascii="Arial" w:hAnsi="Arial" w:cs="Arial"/>
                <w:sz w:val="18"/>
                <w:szCs w:val="18"/>
                <w:lang w:val="it-IT"/>
              </w:rPr>
              <w:t>9.0 %</w:t>
            </w:r>
          </w:p>
        </w:tc>
      </w:tr>
    </w:tbl>
    <w:p w:rsidR="00F86DEB" w:rsidRPr="005056DF" w:rsidRDefault="00F86DEB" w:rsidP="00744F2F">
      <w:pPr>
        <w:ind w:right="1922"/>
        <w:rPr>
          <w:rFonts w:ascii="Arial" w:hAnsi="Arial" w:cs="Arial"/>
          <w:i/>
          <w:sz w:val="16"/>
          <w:szCs w:val="16"/>
          <w:lang w:val="en-GB"/>
        </w:rPr>
      </w:pPr>
    </w:p>
    <w:p w:rsidR="00B84EE5" w:rsidRPr="008C53B9" w:rsidRDefault="00B84EE5" w:rsidP="008C53B9">
      <w:pPr>
        <w:pStyle w:val="Listenabsatz"/>
        <w:numPr>
          <w:ilvl w:val="0"/>
          <w:numId w:val="3"/>
        </w:numPr>
        <w:autoSpaceDE w:val="0"/>
        <w:autoSpaceDN w:val="0"/>
        <w:adjustRightInd w:val="0"/>
        <w:ind w:right="577"/>
        <w:rPr>
          <w:rFonts w:ascii="Arial" w:hAnsi="Arial"/>
          <w:lang w:val="en-GB"/>
        </w:rPr>
      </w:pPr>
      <w:r w:rsidRPr="008C53B9">
        <w:rPr>
          <w:rFonts w:ascii="Arial" w:hAnsi="Arial"/>
          <w:i/>
          <w:sz w:val="16"/>
          <w:lang w:val="en-GB"/>
        </w:rPr>
        <w:t xml:space="preserve">Earnings adjusted for the impact of </w:t>
      </w:r>
      <w:r w:rsidR="00F35F4F">
        <w:rPr>
          <w:rFonts w:ascii="Arial" w:hAnsi="Arial"/>
          <w:i/>
          <w:sz w:val="16"/>
          <w:lang w:val="en-GB"/>
        </w:rPr>
        <w:t xml:space="preserve">revaluation as part of allocating the </w:t>
      </w:r>
      <w:r w:rsidR="005056DF" w:rsidRPr="008C53B9">
        <w:rPr>
          <w:rFonts w:ascii="Arial" w:hAnsi="Arial"/>
          <w:i/>
          <w:sz w:val="16"/>
          <w:lang w:val="en-GB"/>
        </w:rPr>
        <w:t>price</w:t>
      </w:r>
      <w:r w:rsidR="00F35F4F">
        <w:rPr>
          <w:rFonts w:ascii="Arial" w:hAnsi="Arial"/>
          <w:i/>
          <w:sz w:val="16"/>
          <w:lang w:val="en-GB"/>
        </w:rPr>
        <w:t>s of major acquisitions</w:t>
      </w:r>
      <w:r w:rsidR="00787B3E" w:rsidRPr="008C53B9">
        <w:rPr>
          <w:rFonts w:ascii="Arial" w:hAnsi="Arial"/>
          <w:i/>
          <w:sz w:val="16"/>
          <w:lang w:val="en-GB"/>
        </w:rPr>
        <w:t>, r</w:t>
      </w:r>
      <w:r w:rsidRPr="008C53B9">
        <w:rPr>
          <w:rFonts w:ascii="Arial" w:hAnsi="Arial"/>
          <w:i/>
          <w:sz w:val="16"/>
          <w:lang w:val="en-GB"/>
        </w:rPr>
        <w:t>estructuring,</w:t>
      </w:r>
      <w:r w:rsidR="005056DF" w:rsidRPr="008C53B9">
        <w:rPr>
          <w:rFonts w:ascii="Arial" w:hAnsi="Arial"/>
          <w:i/>
          <w:sz w:val="16"/>
          <w:lang w:val="en-GB"/>
        </w:rPr>
        <w:t xml:space="preserve"> </w:t>
      </w:r>
      <w:r w:rsidR="00F35F4F">
        <w:rPr>
          <w:rFonts w:ascii="Arial" w:hAnsi="Arial"/>
          <w:i/>
          <w:sz w:val="16"/>
          <w:lang w:val="en-GB"/>
        </w:rPr>
        <w:t xml:space="preserve">capital </w:t>
      </w:r>
      <w:r w:rsidRPr="008C53B9">
        <w:rPr>
          <w:rFonts w:ascii="Arial" w:hAnsi="Arial"/>
          <w:i/>
          <w:sz w:val="16"/>
          <w:lang w:val="en-GB"/>
        </w:rPr>
        <w:t>gains on business disposals</w:t>
      </w:r>
      <w:r w:rsidR="005056DF" w:rsidRPr="008C53B9">
        <w:rPr>
          <w:rFonts w:ascii="Arial" w:hAnsi="Arial"/>
          <w:i/>
          <w:sz w:val="16"/>
          <w:lang w:val="en-GB"/>
        </w:rPr>
        <w:t xml:space="preserve">, </w:t>
      </w:r>
      <w:proofErr w:type="gramStart"/>
      <w:r w:rsidR="005056DF" w:rsidRPr="008C53B9">
        <w:rPr>
          <w:rFonts w:ascii="Arial" w:hAnsi="Arial"/>
          <w:i/>
          <w:sz w:val="16"/>
          <w:lang w:val="en-GB"/>
        </w:rPr>
        <w:t>income</w:t>
      </w:r>
      <w:proofErr w:type="gramEnd"/>
      <w:r w:rsidR="005056DF" w:rsidRPr="008C53B9">
        <w:rPr>
          <w:rFonts w:ascii="Arial" w:hAnsi="Arial"/>
          <w:i/>
          <w:sz w:val="16"/>
          <w:lang w:val="en-GB"/>
        </w:rPr>
        <w:t xml:space="preserve"> from business combinations including related derivatives and insurance compensation</w:t>
      </w:r>
      <w:r w:rsidR="00F35F4F">
        <w:rPr>
          <w:rFonts w:ascii="Arial" w:hAnsi="Arial"/>
          <w:i/>
          <w:sz w:val="16"/>
          <w:lang w:val="en-GB"/>
        </w:rPr>
        <w:t xml:space="preserve"> / charges due to the fraud case</w:t>
      </w:r>
      <w:r w:rsidRPr="008C53B9">
        <w:rPr>
          <w:rFonts w:ascii="Arial" w:hAnsi="Arial"/>
          <w:i/>
          <w:sz w:val="16"/>
          <w:lang w:val="en-GB"/>
        </w:rPr>
        <w:t>.</w:t>
      </w:r>
    </w:p>
    <w:p w:rsidR="00B84EE5" w:rsidRPr="005056DF" w:rsidRDefault="00B84EE5" w:rsidP="00B84EE5">
      <w:pPr>
        <w:spacing w:before="240"/>
        <w:ind w:right="1854"/>
        <w:rPr>
          <w:rFonts w:ascii="Arial" w:hAnsi="Arial"/>
          <w:i/>
          <w:sz w:val="22"/>
          <w:szCs w:val="22"/>
          <w:lang w:val="en-GB"/>
        </w:rPr>
      </w:pPr>
      <w:r w:rsidRPr="005056DF">
        <w:rPr>
          <w:rFonts w:ascii="Arial" w:hAnsi="Arial"/>
          <w:sz w:val="36"/>
          <w:szCs w:val="36"/>
          <w:lang w:val="en-GB"/>
        </w:rPr>
        <w:sym w:font="Wingdings" w:char="F046"/>
      </w:r>
      <w:r w:rsidRPr="005056DF">
        <w:rPr>
          <w:rFonts w:ascii="Arial" w:hAnsi="Arial"/>
          <w:i/>
          <w:sz w:val="20"/>
          <w:lang w:val="en-GB"/>
        </w:rPr>
        <w:t xml:space="preserve"> </w:t>
      </w:r>
      <w:r w:rsidRPr="005056DF">
        <w:rPr>
          <w:rFonts w:ascii="Arial" w:hAnsi="Arial"/>
          <w:i/>
          <w:sz w:val="22"/>
          <w:szCs w:val="22"/>
          <w:lang w:val="en-GB"/>
        </w:rPr>
        <w:t xml:space="preserve">Related illustration material can be downloaded </w:t>
      </w:r>
      <w:r w:rsidR="00404C26" w:rsidRPr="005056DF">
        <w:rPr>
          <w:rFonts w:ascii="Arial" w:hAnsi="Arial"/>
          <w:i/>
          <w:sz w:val="22"/>
          <w:szCs w:val="22"/>
          <w:lang w:val="en-GB"/>
        </w:rPr>
        <w:t>next to this release at</w:t>
      </w:r>
      <w:r w:rsidRPr="005056DF">
        <w:rPr>
          <w:rFonts w:ascii="Arial" w:hAnsi="Arial"/>
          <w:i/>
          <w:sz w:val="22"/>
          <w:szCs w:val="22"/>
          <w:lang w:val="en-GB"/>
        </w:rPr>
        <w:t xml:space="preserve"> </w:t>
      </w:r>
      <w:hyperlink r:id="rId9" w:history="1">
        <w:r w:rsidR="00F35F4F" w:rsidRPr="003D6353">
          <w:rPr>
            <w:rStyle w:val="Hyperlink"/>
            <w:rFonts w:ascii="Arial" w:hAnsi="Arial"/>
            <w:i/>
            <w:sz w:val="22"/>
            <w:szCs w:val="22"/>
            <w:lang w:val="en-GB"/>
          </w:rPr>
          <w:t>www.leoni.com/en/press/releases/details/leoni-continues-successful-business-performance-in-the-3rd-quarter/</w:t>
        </w:r>
      </w:hyperlink>
      <w:r w:rsidRPr="005056DF">
        <w:rPr>
          <w:rFonts w:ascii="Arial" w:hAnsi="Arial"/>
          <w:i/>
          <w:sz w:val="21"/>
          <w:lang w:val="en-GB"/>
        </w:rPr>
        <w:t xml:space="preserve"> </w:t>
      </w:r>
      <w:r w:rsidRPr="005056DF">
        <w:rPr>
          <w:rFonts w:ascii="Arial" w:hAnsi="Arial"/>
          <w:i/>
          <w:sz w:val="21"/>
          <w:lang w:val="en-GB"/>
        </w:rPr>
        <w:br/>
      </w:r>
      <w:r w:rsidRPr="005056DF">
        <w:rPr>
          <w:rFonts w:ascii="Arial" w:hAnsi="Arial"/>
          <w:sz w:val="36"/>
          <w:szCs w:val="36"/>
          <w:lang w:val="en-GB"/>
        </w:rPr>
        <w:sym w:font="Wingdings" w:char="F046"/>
      </w:r>
      <w:r w:rsidRPr="005056DF">
        <w:rPr>
          <w:rFonts w:ascii="Arial" w:hAnsi="Arial"/>
          <w:i/>
          <w:sz w:val="20"/>
          <w:lang w:val="en-GB"/>
        </w:rPr>
        <w:t xml:space="preserve"> </w:t>
      </w:r>
      <w:proofErr w:type="gramStart"/>
      <w:r w:rsidRPr="005056DF">
        <w:rPr>
          <w:rFonts w:ascii="Arial" w:hAnsi="Arial"/>
          <w:i/>
          <w:sz w:val="22"/>
          <w:szCs w:val="22"/>
          <w:lang w:val="en-GB"/>
        </w:rPr>
        <w:t>The</w:t>
      </w:r>
      <w:proofErr w:type="gramEnd"/>
      <w:r w:rsidRPr="005056DF">
        <w:rPr>
          <w:rFonts w:ascii="Arial" w:hAnsi="Arial"/>
          <w:i/>
          <w:sz w:val="22"/>
          <w:szCs w:val="22"/>
          <w:lang w:val="en-GB"/>
        </w:rPr>
        <w:t xml:space="preserve"> complete quarterly report can be found at </w:t>
      </w:r>
      <w:r w:rsidR="00327D2D" w:rsidRPr="005056DF">
        <w:rPr>
          <w:rFonts w:ascii="Arial" w:hAnsi="Arial"/>
          <w:i/>
          <w:sz w:val="22"/>
          <w:szCs w:val="22"/>
          <w:lang w:val="en-GB"/>
        </w:rPr>
        <w:br/>
      </w:r>
      <w:hyperlink r:id="rId10" w:history="1">
        <w:r w:rsidR="00404C26" w:rsidRPr="005056DF">
          <w:rPr>
            <w:rStyle w:val="Hyperlink"/>
            <w:rFonts w:ascii="Arial" w:hAnsi="Arial"/>
            <w:i/>
            <w:sz w:val="22"/>
            <w:szCs w:val="22"/>
            <w:lang w:val="en-GB"/>
          </w:rPr>
          <w:t>www.leoni.com/en/financial-publications/</w:t>
        </w:r>
      </w:hyperlink>
    </w:p>
    <w:p w:rsidR="008A2709" w:rsidRPr="005056DF" w:rsidRDefault="008A2709" w:rsidP="008A2709">
      <w:pPr>
        <w:pStyle w:val="MMKurzprofilberschrift"/>
        <w:rPr>
          <w:lang w:val="en-GB"/>
        </w:rPr>
      </w:pPr>
      <w:r w:rsidRPr="005056DF">
        <w:rPr>
          <w:lang w:val="en-GB"/>
        </w:rPr>
        <w:t>About the Leoni Group</w:t>
      </w:r>
    </w:p>
    <w:p w:rsidR="008A2709" w:rsidRPr="005056DF" w:rsidRDefault="008A2709" w:rsidP="008C53B9">
      <w:pPr>
        <w:pStyle w:val="MMKurzprofil"/>
        <w:rPr>
          <w:lang w:val="en-GB"/>
        </w:rPr>
      </w:pPr>
      <w:r w:rsidRPr="005056DF">
        <w:rPr>
          <w:lang w:val="en-GB"/>
        </w:rPr>
        <w:t xml:space="preserve">Leoni is a global supplier of wires, optical </w:t>
      </w:r>
      <w:proofErr w:type="spellStart"/>
      <w:r w:rsidRPr="005056DF">
        <w:rPr>
          <w:lang w:val="en-GB"/>
        </w:rPr>
        <w:t>fibers</w:t>
      </w:r>
      <w:proofErr w:type="spellEnd"/>
      <w:r w:rsidRPr="005056DF">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4141F8">
        <w:rPr>
          <w:lang w:val="en-GB"/>
        </w:rPr>
        <w:t xml:space="preserve">about </w:t>
      </w:r>
      <w:r w:rsidRPr="005056DF">
        <w:rPr>
          <w:lang w:val="en-GB"/>
        </w:rPr>
        <w:t>8</w:t>
      </w:r>
      <w:r w:rsidR="004141F8">
        <w:rPr>
          <w:lang w:val="en-GB"/>
        </w:rPr>
        <w:t>4</w:t>
      </w:r>
      <w:r w:rsidRPr="005056DF">
        <w:rPr>
          <w:lang w:val="en-GB"/>
        </w:rPr>
        <w:t xml:space="preserve">,000 people in 31 countries and generated consolidated sales of EUR 4.4 billion in 2016. In 2017, Leoni celebrates its 100 years anniversary. </w:t>
      </w:r>
    </w:p>
    <w:p w:rsidR="008A2709" w:rsidRPr="005056DF" w:rsidRDefault="008A2709" w:rsidP="008C53B9">
      <w:pPr>
        <w:pStyle w:val="MMKurzprofil"/>
        <w:rPr>
          <w:noProof/>
          <w:lang w:val="en-GB"/>
        </w:rPr>
      </w:pPr>
      <w:r w:rsidRPr="005056DF">
        <w:rPr>
          <w:noProof/>
          <w:snapToGrid/>
          <w:lang w:eastAsia="de-DE"/>
        </w:rPr>
        <w:drawing>
          <wp:inline distT="0" distB="0" distL="0" distR="0" wp14:anchorId="5870BD28" wp14:editId="78159992">
            <wp:extent cx="180975" cy="180975"/>
            <wp:effectExtent l="0" t="0" r="9525" b="9525"/>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056DF">
        <w:rPr>
          <w:noProof/>
          <w:lang w:val="en-GB"/>
        </w:rPr>
        <w:t xml:space="preserve"> </w:t>
      </w:r>
      <w:r w:rsidRPr="005056DF">
        <w:rPr>
          <w:noProof/>
          <w:lang w:eastAsia="de-DE"/>
        </w:rPr>
        <w:drawing>
          <wp:inline distT="0" distB="0" distL="0" distR="0" wp14:anchorId="6FB16169" wp14:editId="02F2DE3A">
            <wp:extent cx="180000" cy="180000"/>
            <wp:effectExtent l="0" t="0" r="0"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5056DF">
        <w:rPr>
          <w:noProof/>
          <w:lang w:val="en-GB"/>
        </w:rPr>
        <w:t xml:space="preserve"> </w:t>
      </w:r>
      <w:r w:rsidRPr="005056DF">
        <w:rPr>
          <w:noProof/>
          <w:snapToGrid/>
          <w:lang w:eastAsia="de-DE"/>
        </w:rPr>
        <w:drawing>
          <wp:inline distT="0" distB="0" distL="0" distR="0" wp14:anchorId="3A440BE5" wp14:editId="5F892C34">
            <wp:extent cx="177800" cy="177800"/>
            <wp:effectExtent l="0" t="0" r="0" b="0"/>
            <wp:docPr id="7" name="Bild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351E3" w:rsidRPr="005056DF" w:rsidRDefault="00B351E3" w:rsidP="0019023D">
      <w:pPr>
        <w:pStyle w:val="MMKurzprofilberschrift"/>
        <w:rPr>
          <w:lang w:val="en-GB"/>
        </w:rPr>
        <w:sectPr w:rsidR="00B351E3" w:rsidRPr="005056DF">
          <w:headerReference w:type="default" r:id="rId17"/>
          <w:footerReference w:type="default" r:id="rId18"/>
          <w:headerReference w:type="first" r:id="rId19"/>
          <w:footerReference w:type="first" r:id="rId20"/>
          <w:pgSz w:w="11900" w:h="16840" w:code="9"/>
          <w:pgMar w:top="2977" w:right="833" w:bottom="1701" w:left="1418" w:header="0" w:footer="742" w:gutter="0"/>
          <w:cols w:space="708"/>
        </w:sectPr>
      </w:pPr>
    </w:p>
    <w:p w:rsidR="008A2709" w:rsidRPr="005056DF" w:rsidRDefault="008A2709" w:rsidP="008A2709">
      <w:pPr>
        <w:pStyle w:val="MMKurzprofilberschrift"/>
        <w:rPr>
          <w:lang w:val="en-GB"/>
        </w:rPr>
      </w:pPr>
      <w:r w:rsidRPr="005056DF">
        <w:rPr>
          <w:lang w:val="en-GB"/>
        </w:rPr>
        <w:lastRenderedPageBreak/>
        <w:t xml:space="preserve">Contact person for journalists </w:t>
      </w:r>
    </w:p>
    <w:p w:rsidR="008A2709" w:rsidRPr="005056DF" w:rsidRDefault="008A2709" w:rsidP="008C53B9">
      <w:pPr>
        <w:pStyle w:val="MMKurzprofil"/>
        <w:rPr>
          <w:lang w:val="en-GB"/>
        </w:rPr>
      </w:pPr>
      <w:r w:rsidRPr="005056DF">
        <w:rPr>
          <w:lang w:val="en-GB"/>
        </w:rPr>
        <w:t>Sven Schmidt</w:t>
      </w:r>
    </w:p>
    <w:p w:rsidR="008A2709" w:rsidRPr="005056DF" w:rsidRDefault="008A2709" w:rsidP="008C53B9">
      <w:pPr>
        <w:pStyle w:val="MMKurzprofil"/>
        <w:rPr>
          <w:lang w:val="en-GB"/>
        </w:rPr>
      </w:pPr>
      <w:r w:rsidRPr="005056DF">
        <w:rPr>
          <w:lang w:val="en-GB"/>
        </w:rPr>
        <w:t>Corporate Public &amp; Media Relations</w:t>
      </w:r>
    </w:p>
    <w:p w:rsidR="008A2709" w:rsidRPr="005056DF" w:rsidRDefault="008A2709" w:rsidP="008C53B9">
      <w:pPr>
        <w:pStyle w:val="MMKurzprofil"/>
        <w:rPr>
          <w:lang w:val="en-GB"/>
        </w:rPr>
      </w:pPr>
      <w:r w:rsidRPr="005056DF">
        <w:rPr>
          <w:lang w:val="en-GB"/>
        </w:rPr>
        <w:t>LEONI AG</w:t>
      </w:r>
    </w:p>
    <w:p w:rsidR="008A2709" w:rsidRPr="005056DF" w:rsidRDefault="008A2709" w:rsidP="008C53B9">
      <w:pPr>
        <w:pStyle w:val="MMKurzprofil"/>
        <w:rPr>
          <w:lang w:val="en-GB"/>
        </w:rPr>
      </w:pPr>
      <w:r w:rsidRPr="005056DF">
        <w:rPr>
          <w:lang w:val="en-GB"/>
        </w:rPr>
        <w:t>Phone</w:t>
      </w:r>
      <w:r w:rsidRPr="005056DF">
        <w:rPr>
          <w:lang w:val="en-GB"/>
        </w:rPr>
        <w:tab/>
        <w:t>+49 911 2023-467</w:t>
      </w:r>
    </w:p>
    <w:p w:rsidR="008A2709" w:rsidRPr="005056DF" w:rsidRDefault="008A2709" w:rsidP="008C53B9">
      <w:pPr>
        <w:pStyle w:val="MMKurzprofil"/>
        <w:rPr>
          <w:lang w:val="en-GB"/>
        </w:rPr>
      </w:pPr>
      <w:r w:rsidRPr="005056DF">
        <w:rPr>
          <w:lang w:val="en-GB"/>
        </w:rPr>
        <w:t>Fax</w:t>
      </w:r>
      <w:r w:rsidRPr="005056DF">
        <w:rPr>
          <w:lang w:val="en-GB"/>
        </w:rPr>
        <w:tab/>
        <w:t>+49 911 2023-231</w:t>
      </w:r>
    </w:p>
    <w:p w:rsidR="00744F2F" w:rsidRPr="005056DF" w:rsidRDefault="008A2709" w:rsidP="008C53B9">
      <w:pPr>
        <w:pStyle w:val="MMKurzprofil"/>
        <w:rPr>
          <w:rFonts w:cs="Times New Roman"/>
          <w:szCs w:val="24"/>
          <w:lang w:val="en-GB"/>
        </w:rPr>
      </w:pPr>
      <w:r w:rsidRPr="005056DF">
        <w:rPr>
          <w:lang w:val="en-GB"/>
        </w:rPr>
        <w:t>E-mail</w:t>
      </w:r>
      <w:r w:rsidRPr="005056DF">
        <w:rPr>
          <w:lang w:val="en-GB"/>
        </w:rPr>
        <w:tab/>
      </w:r>
      <w:hyperlink r:id="rId21">
        <w:r w:rsidRPr="005056DF">
          <w:rPr>
            <w:rStyle w:val="Hyperlink"/>
            <w:lang w:val="en-GB"/>
          </w:rPr>
          <w:t>presse@leoni.com</w:t>
        </w:r>
      </w:hyperlink>
    </w:p>
    <w:sectPr w:rsidR="00744F2F" w:rsidRPr="005056DF" w:rsidSect="00744F2F">
      <w:headerReference w:type="default" r:id="rId22"/>
      <w:footerReference w:type="default" r:id="rId23"/>
      <w:headerReference w:type="first" r:id="rId24"/>
      <w:footerReference w:type="first" r:id="rId25"/>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99" w:rsidRDefault="00C52799">
      <w:pPr>
        <w:rPr>
          <w:sz w:val="16"/>
        </w:rPr>
      </w:pPr>
      <w:r>
        <w:separator/>
      </w:r>
    </w:p>
  </w:endnote>
  <w:endnote w:type="continuationSeparator" w:id="0">
    <w:p w:rsidR="00C52799" w:rsidRDefault="00C5279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9F5814">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9F5814">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r w:rsidR="008A2709">
      <w:rPr>
        <w:noProof/>
        <w:lang w:eastAsia="de-DE"/>
      </w:rPr>
      <w:drawing>
        <wp:anchor distT="0" distB="0" distL="114300" distR="114300" simplePos="0" relativeHeight="251663360" behindDoc="0" locked="0" layoutInCell="1" allowOverlap="1" wp14:anchorId="1864EF44" wp14:editId="733BB8F9">
          <wp:simplePos x="0" y="0"/>
          <wp:positionH relativeFrom="column">
            <wp:posOffset>5157470</wp:posOffset>
          </wp:positionH>
          <wp:positionV relativeFrom="paragraph">
            <wp:posOffset>-137795</wp:posOffset>
          </wp:positionV>
          <wp:extent cx="1651000" cy="814705"/>
          <wp:effectExtent l="0" t="0" r="0" b="0"/>
          <wp:wrapSquare wrapText="bothSides"/>
          <wp:docPr id="9"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141F8">
      <w:rPr>
        <w:rStyle w:val="Seitenzahl"/>
        <w:rFonts w:ascii="Arial" w:hAnsi="Arial"/>
        <w:i/>
        <w:noProof/>
        <w:sz w:val="16"/>
      </w:rPr>
      <w:t>4</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9F5814">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99" w:rsidRDefault="00C52799">
      <w:pPr>
        <w:rPr>
          <w:sz w:val="16"/>
        </w:rPr>
      </w:pPr>
      <w:r>
        <w:separator/>
      </w:r>
    </w:p>
  </w:footnote>
  <w:footnote w:type="continuationSeparator" w:id="0">
    <w:p w:rsidR="00C52799" w:rsidRDefault="00C5279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366FE5">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428F8B67" wp14:editId="17E3C2B7">
          <wp:simplePos x="0" y="0"/>
          <wp:positionH relativeFrom="page">
            <wp:posOffset>5796915</wp:posOffset>
          </wp:positionH>
          <wp:positionV relativeFrom="page">
            <wp:posOffset>540385</wp:posOffset>
          </wp:positionV>
          <wp:extent cx="1229360" cy="294640"/>
          <wp:effectExtent l="0" t="0" r="889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2744E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366FE5">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46A85E2" wp14:editId="359F1947">
          <wp:simplePos x="0" y="0"/>
          <wp:positionH relativeFrom="margin">
            <wp:posOffset>5008245</wp:posOffset>
          </wp:positionH>
          <wp:positionV relativeFrom="margin">
            <wp:posOffset>-1421765</wp:posOffset>
          </wp:positionV>
          <wp:extent cx="1229360" cy="294640"/>
          <wp:effectExtent l="0" t="0" r="8890" b="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9F5814" w:rsidP="00F65C50">
    <w:pPr>
      <w:pStyle w:val="Kopfzeile"/>
      <w:tabs>
        <w:tab w:val="clear" w:pos="9072"/>
        <w:tab w:val="right" w:pos="9639"/>
      </w:tabs>
      <w:rPr>
        <w:rFonts w:ascii="Verdana" w:hAnsi="Verdana"/>
        <w:sz w:val="20"/>
      </w:rPr>
    </w:pPr>
  </w:p>
  <w:p w:rsidR="008F37D5" w:rsidRDefault="009F5814" w:rsidP="00F65C50">
    <w:pPr>
      <w:pStyle w:val="Kopfzeile"/>
      <w:tabs>
        <w:tab w:val="clear" w:pos="9072"/>
        <w:tab w:val="right" w:pos="9639"/>
      </w:tabs>
      <w:rPr>
        <w:rFonts w:ascii="Verdana" w:hAnsi="Verdana"/>
        <w:sz w:val="20"/>
      </w:rPr>
    </w:pPr>
  </w:p>
  <w:p w:rsidR="008F37D5" w:rsidRPr="00F17738" w:rsidRDefault="00366FE5"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9F5814"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9F5814">
    <w:pPr>
      <w:pStyle w:val="Kopfzeile"/>
      <w:tabs>
        <w:tab w:val="clear" w:pos="9072"/>
        <w:tab w:val="right" w:pos="9639"/>
      </w:tabs>
      <w:rPr>
        <w:rFonts w:ascii="Verdana" w:hAnsi="Verdana"/>
        <w:sz w:val="20"/>
      </w:rPr>
    </w:pPr>
  </w:p>
  <w:p w:rsidR="008F37D5" w:rsidRDefault="009F5814">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p w:rsidR="008F37D5" w:rsidRDefault="00366FE5">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p w:rsidR="008F37D5" w:rsidRDefault="009F581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2">
    <w:nsid w:val="67404B21"/>
    <w:multiLevelType w:val="hybridMultilevel"/>
    <w:tmpl w:val="B9B00FA4"/>
    <w:lvl w:ilvl="0" w:tplc="7FEABAC6">
      <w:start w:val="1"/>
      <w:numFmt w:val="decimal"/>
      <w:lvlText w:val="(%1)"/>
      <w:lvlJc w:val="left"/>
      <w:pPr>
        <w:ind w:left="360" w:hanging="360"/>
      </w:pPr>
      <w:rPr>
        <w:rFonts w:hint="default"/>
        <w:i/>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3345"/>
    <w:rsid w:val="000453F9"/>
    <w:rsid w:val="00083B36"/>
    <w:rsid w:val="000A0822"/>
    <w:rsid w:val="000A1974"/>
    <w:rsid w:val="000A32BC"/>
    <w:rsid w:val="000A7B89"/>
    <w:rsid w:val="000B3BF8"/>
    <w:rsid w:val="000B470A"/>
    <w:rsid w:val="000B5865"/>
    <w:rsid w:val="000C02B1"/>
    <w:rsid w:val="000D1D02"/>
    <w:rsid w:val="000D2329"/>
    <w:rsid w:val="000D65E4"/>
    <w:rsid w:val="000D7D1F"/>
    <w:rsid w:val="000E49EE"/>
    <w:rsid w:val="000E4FB5"/>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9023D"/>
    <w:rsid w:val="001A26F1"/>
    <w:rsid w:val="001A759B"/>
    <w:rsid w:val="001B054C"/>
    <w:rsid w:val="001B61BA"/>
    <w:rsid w:val="001B621B"/>
    <w:rsid w:val="001C0CC3"/>
    <w:rsid w:val="001C2D50"/>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44E1"/>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27D2D"/>
    <w:rsid w:val="00361CF2"/>
    <w:rsid w:val="00362050"/>
    <w:rsid w:val="003627B5"/>
    <w:rsid w:val="00364DCD"/>
    <w:rsid w:val="00366FE5"/>
    <w:rsid w:val="00382198"/>
    <w:rsid w:val="00397A3F"/>
    <w:rsid w:val="00397AC4"/>
    <w:rsid w:val="003C6AAE"/>
    <w:rsid w:val="003D2799"/>
    <w:rsid w:val="003E21B1"/>
    <w:rsid w:val="003E43B4"/>
    <w:rsid w:val="003E4B96"/>
    <w:rsid w:val="003F74D0"/>
    <w:rsid w:val="00404468"/>
    <w:rsid w:val="00404C26"/>
    <w:rsid w:val="004141F8"/>
    <w:rsid w:val="00432245"/>
    <w:rsid w:val="00441012"/>
    <w:rsid w:val="00441963"/>
    <w:rsid w:val="004442C8"/>
    <w:rsid w:val="0045071B"/>
    <w:rsid w:val="004547BF"/>
    <w:rsid w:val="00473340"/>
    <w:rsid w:val="00473E7D"/>
    <w:rsid w:val="004767C8"/>
    <w:rsid w:val="004826F0"/>
    <w:rsid w:val="0048460D"/>
    <w:rsid w:val="004A0C6E"/>
    <w:rsid w:val="004A1653"/>
    <w:rsid w:val="004A457B"/>
    <w:rsid w:val="004B0623"/>
    <w:rsid w:val="004B3DB8"/>
    <w:rsid w:val="004B4CC2"/>
    <w:rsid w:val="004D2FCB"/>
    <w:rsid w:val="004D6F84"/>
    <w:rsid w:val="004D7625"/>
    <w:rsid w:val="004E00F1"/>
    <w:rsid w:val="004E29FC"/>
    <w:rsid w:val="004F038C"/>
    <w:rsid w:val="004F2266"/>
    <w:rsid w:val="004F7079"/>
    <w:rsid w:val="00500004"/>
    <w:rsid w:val="00500B29"/>
    <w:rsid w:val="005056DF"/>
    <w:rsid w:val="005071D3"/>
    <w:rsid w:val="005072AE"/>
    <w:rsid w:val="00516303"/>
    <w:rsid w:val="00520D08"/>
    <w:rsid w:val="00526F46"/>
    <w:rsid w:val="0053287E"/>
    <w:rsid w:val="00533337"/>
    <w:rsid w:val="00533F65"/>
    <w:rsid w:val="005346BE"/>
    <w:rsid w:val="005408F2"/>
    <w:rsid w:val="00541D3C"/>
    <w:rsid w:val="00543110"/>
    <w:rsid w:val="00543C34"/>
    <w:rsid w:val="005448AB"/>
    <w:rsid w:val="00547D6D"/>
    <w:rsid w:val="005712FF"/>
    <w:rsid w:val="005A1926"/>
    <w:rsid w:val="005A7481"/>
    <w:rsid w:val="005B37C7"/>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57E1"/>
    <w:rsid w:val="006A76CA"/>
    <w:rsid w:val="006C41D1"/>
    <w:rsid w:val="006C508C"/>
    <w:rsid w:val="006C5546"/>
    <w:rsid w:val="006C6A78"/>
    <w:rsid w:val="006D0A31"/>
    <w:rsid w:val="006D1387"/>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29D5"/>
    <w:rsid w:val="00763E80"/>
    <w:rsid w:val="00765E37"/>
    <w:rsid w:val="00772C01"/>
    <w:rsid w:val="007747B6"/>
    <w:rsid w:val="007755A7"/>
    <w:rsid w:val="0078384F"/>
    <w:rsid w:val="00783A5E"/>
    <w:rsid w:val="007864F1"/>
    <w:rsid w:val="00786FF2"/>
    <w:rsid w:val="00787B3E"/>
    <w:rsid w:val="00791E09"/>
    <w:rsid w:val="007B067E"/>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A2709"/>
    <w:rsid w:val="008B0AD0"/>
    <w:rsid w:val="008B1883"/>
    <w:rsid w:val="008B53D6"/>
    <w:rsid w:val="008C53B9"/>
    <w:rsid w:val="008D26BA"/>
    <w:rsid w:val="008D540A"/>
    <w:rsid w:val="008D6717"/>
    <w:rsid w:val="008E7760"/>
    <w:rsid w:val="008F04A4"/>
    <w:rsid w:val="008F124A"/>
    <w:rsid w:val="008F41B4"/>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96A04"/>
    <w:rsid w:val="009A05EE"/>
    <w:rsid w:val="009A1070"/>
    <w:rsid w:val="009B48FF"/>
    <w:rsid w:val="009B564D"/>
    <w:rsid w:val="009C0937"/>
    <w:rsid w:val="009C6B13"/>
    <w:rsid w:val="009E1E09"/>
    <w:rsid w:val="009F5814"/>
    <w:rsid w:val="009F6805"/>
    <w:rsid w:val="009F752B"/>
    <w:rsid w:val="00A12538"/>
    <w:rsid w:val="00A17D32"/>
    <w:rsid w:val="00A23768"/>
    <w:rsid w:val="00A27173"/>
    <w:rsid w:val="00A2750A"/>
    <w:rsid w:val="00A34AA7"/>
    <w:rsid w:val="00A37C17"/>
    <w:rsid w:val="00A54DDA"/>
    <w:rsid w:val="00A66992"/>
    <w:rsid w:val="00A708D7"/>
    <w:rsid w:val="00A76205"/>
    <w:rsid w:val="00A76415"/>
    <w:rsid w:val="00A864E9"/>
    <w:rsid w:val="00A933FB"/>
    <w:rsid w:val="00AA09F4"/>
    <w:rsid w:val="00AA2A8D"/>
    <w:rsid w:val="00AC2AE0"/>
    <w:rsid w:val="00AC7A23"/>
    <w:rsid w:val="00AD3E26"/>
    <w:rsid w:val="00AE1133"/>
    <w:rsid w:val="00AE43B7"/>
    <w:rsid w:val="00AF0A61"/>
    <w:rsid w:val="00AF1B7B"/>
    <w:rsid w:val="00B05F61"/>
    <w:rsid w:val="00B10383"/>
    <w:rsid w:val="00B1340F"/>
    <w:rsid w:val="00B139E4"/>
    <w:rsid w:val="00B25162"/>
    <w:rsid w:val="00B351E3"/>
    <w:rsid w:val="00B3540F"/>
    <w:rsid w:val="00B45E40"/>
    <w:rsid w:val="00B461BD"/>
    <w:rsid w:val="00B466F2"/>
    <w:rsid w:val="00B65C34"/>
    <w:rsid w:val="00B66FC1"/>
    <w:rsid w:val="00B6724A"/>
    <w:rsid w:val="00B67561"/>
    <w:rsid w:val="00B70B1A"/>
    <w:rsid w:val="00B71C6F"/>
    <w:rsid w:val="00B8341D"/>
    <w:rsid w:val="00B84EE5"/>
    <w:rsid w:val="00B91F37"/>
    <w:rsid w:val="00B96DE2"/>
    <w:rsid w:val="00BA0052"/>
    <w:rsid w:val="00BB1A73"/>
    <w:rsid w:val="00BB2564"/>
    <w:rsid w:val="00BC5FE7"/>
    <w:rsid w:val="00BC7AFF"/>
    <w:rsid w:val="00BD22AC"/>
    <w:rsid w:val="00BD2643"/>
    <w:rsid w:val="00BD4058"/>
    <w:rsid w:val="00BE1369"/>
    <w:rsid w:val="00BF0085"/>
    <w:rsid w:val="00BF28B6"/>
    <w:rsid w:val="00BF5681"/>
    <w:rsid w:val="00BF64D2"/>
    <w:rsid w:val="00BF7DEC"/>
    <w:rsid w:val="00C03D20"/>
    <w:rsid w:val="00C0468A"/>
    <w:rsid w:val="00C108BC"/>
    <w:rsid w:val="00C11645"/>
    <w:rsid w:val="00C12270"/>
    <w:rsid w:val="00C1516A"/>
    <w:rsid w:val="00C251FA"/>
    <w:rsid w:val="00C30C32"/>
    <w:rsid w:val="00C4636C"/>
    <w:rsid w:val="00C52799"/>
    <w:rsid w:val="00C563D7"/>
    <w:rsid w:val="00C63B60"/>
    <w:rsid w:val="00C6770A"/>
    <w:rsid w:val="00C70F49"/>
    <w:rsid w:val="00C7427E"/>
    <w:rsid w:val="00C900A9"/>
    <w:rsid w:val="00C96EBA"/>
    <w:rsid w:val="00CA481B"/>
    <w:rsid w:val="00CA4B57"/>
    <w:rsid w:val="00CB2F17"/>
    <w:rsid w:val="00CD7A5E"/>
    <w:rsid w:val="00CE572C"/>
    <w:rsid w:val="00D04407"/>
    <w:rsid w:val="00D112C0"/>
    <w:rsid w:val="00D1225B"/>
    <w:rsid w:val="00D15735"/>
    <w:rsid w:val="00D22ED7"/>
    <w:rsid w:val="00D2511A"/>
    <w:rsid w:val="00D413F1"/>
    <w:rsid w:val="00D47FA5"/>
    <w:rsid w:val="00D6203C"/>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7B66"/>
    <w:rsid w:val="00E910E5"/>
    <w:rsid w:val="00E93051"/>
    <w:rsid w:val="00E956C2"/>
    <w:rsid w:val="00E95777"/>
    <w:rsid w:val="00EC0A0C"/>
    <w:rsid w:val="00EC0E74"/>
    <w:rsid w:val="00EC6520"/>
    <w:rsid w:val="00ED1040"/>
    <w:rsid w:val="00ED47BD"/>
    <w:rsid w:val="00EE3329"/>
    <w:rsid w:val="00EE5BD1"/>
    <w:rsid w:val="00F21EA0"/>
    <w:rsid w:val="00F35F4F"/>
    <w:rsid w:val="00F37865"/>
    <w:rsid w:val="00F46AC0"/>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4141F8"/>
    <w:pPr>
      <w:ind w:right="1922"/>
    </w:pPr>
    <w:rPr>
      <w:rFonts w:ascii="Arial" w:hAnsi="Arial"/>
      <w:bCs/>
      <w:spacing w:val="-2"/>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4141F8"/>
    <w:pPr>
      <w:ind w:right="1922"/>
      <w:jc w:val="both"/>
    </w:pPr>
    <w:rPr>
      <w:rFonts w:ascii="Arial" w:hAnsi="Arial" w:cs="Arial"/>
      <w:sz w:val="22"/>
      <w:szCs w:val="22"/>
      <w:lang w:val="en-US"/>
    </w:rPr>
  </w:style>
  <w:style w:type="paragraph" w:customStyle="1" w:styleId="MMKurzprofil">
    <w:name w:val="MM Kurzprofil"/>
    <w:basedOn w:val="Standard"/>
    <w:autoRedefine/>
    <w:qFormat/>
    <w:rsid w:val="008C53B9"/>
    <w:pPr>
      <w:tabs>
        <w:tab w:val="left" w:pos="851"/>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8C5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4141F8"/>
    <w:pPr>
      <w:ind w:right="1922"/>
    </w:pPr>
    <w:rPr>
      <w:rFonts w:ascii="Arial" w:hAnsi="Arial"/>
      <w:bCs/>
      <w:spacing w:val="-2"/>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4141F8"/>
    <w:pPr>
      <w:ind w:right="1922"/>
      <w:jc w:val="both"/>
    </w:pPr>
    <w:rPr>
      <w:rFonts w:ascii="Arial" w:hAnsi="Arial" w:cs="Arial"/>
      <w:sz w:val="22"/>
      <w:szCs w:val="22"/>
      <w:lang w:val="en-US"/>
    </w:rPr>
  </w:style>
  <w:style w:type="paragraph" w:customStyle="1" w:styleId="MMKurzprofil">
    <w:name w:val="MM Kurzprofil"/>
    <w:basedOn w:val="Standard"/>
    <w:autoRedefine/>
    <w:qFormat/>
    <w:rsid w:val="008C53B9"/>
    <w:pPr>
      <w:tabs>
        <w:tab w:val="left" w:pos="851"/>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8C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company/leon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sse@leoni.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eleonigroup"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xing.com/companies/leoniag" TargetMode="External"/><Relationship Id="rId23" Type="http://schemas.openxmlformats.org/officeDocument/2006/relationships/footer" Target="footer3.xml"/><Relationship Id="rId10" Type="http://schemas.openxmlformats.org/officeDocument/2006/relationships/hyperlink" Target="http://www.leoni.com/en/financial-publication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eoni.com/en/press/releases/details/leoni-continues-successful-business-performance-in-the-3rd-quarter/" TargetMode="Externa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FBCD-5159-4D0B-A4D8-39E679C1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5593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Press Release</vt:lpstr>
      <vt:lpstr>Media Relations Medienmitteilungen</vt:lpstr>
    </vt:vector>
  </TitlesOfParts>
  <Manager>Sven Schmidt</Manager>
  <Company>LEONI</Company>
  <LinksUpToDate>false</LinksUpToDate>
  <CharactersWithSpaces>6574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Schmidt, Sven</cp:lastModifiedBy>
  <cp:revision>4</cp:revision>
  <cp:lastPrinted>2017-11-14T10:59:00Z</cp:lastPrinted>
  <dcterms:created xsi:type="dcterms:W3CDTF">2017-11-14T10:30:00Z</dcterms:created>
  <dcterms:modified xsi:type="dcterms:W3CDTF">2017-11-14T11:00:00Z</dcterms:modified>
</cp:coreProperties>
</file>