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997BA" w14:textId="7EEC601E" w:rsidR="00A92505" w:rsidRPr="00445A33" w:rsidRDefault="00030FC6" w:rsidP="00445A33">
      <w:pPr>
        <w:pStyle w:val="MMU1"/>
      </w:pPr>
      <w:r w:rsidRPr="00445A33">
        <w:t>Leoni</w:t>
      </w:r>
      <w:r w:rsidR="00B06867" w:rsidRPr="00445A33">
        <w:t xml:space="preserve"> wächst </w:t>
      </w:r>
      <w:r w:rsidR="00E86D57" w:rsidRPr="00445A33">
        <w:t xml:space="preserve">im ersten Quartal </w:t>
      </w:r>
      <w:r w:rsidR="0003754B" w:rsidRPr="00445A33">
        <w:t xml:space="preserve">2018 </w:t>
      </w:r>
      <w:r w:rsidR="00E86D57" w:rsidRPr="00445A33">
        <w:t xml:space="preserve">um 14 Prozent </w:t>
      </w:r>
      <w:r w:rsidR="00B06867" w:rsidRPr="00445A33">
        <w:t xml:space="preserve">aus eigener Kraft </w:t>
      </w:r>
    </w:p>
    <w:p w14:paraId="41DA7114" w14:textId="14D8F3E3" w:rsidR="00B375B9" w:rsidRDefault="00B06867" w:rsidP="00261B16">
      <w:pPr>
        <w:pStyle w:val="MMU2"/>
        <w:spacing w:after="0"/>
      </w:pPr>
      <w:r>
        <w:t>Quartals</w:t>
      </w:r>
      <w:r w:rsidR="00D517EE">
        <w:t>u</w:t>
      </w:r>
      <w:r w:rsidR="00B375B9">
        <w:t xml:space="preserve">msatz </w:t>
      </w:r>
      <w:r>
        <w:t>steigt erstmal</w:t>
      </w:r>
      <w:r w:rsidR="00D517EE">
        <w:t>s</w:t>
      </w:r>
      <w:r>
        <w:t xml:space="preserve"> </w:t>
      </w:r>
      <w:r w:rsidR="00683653">
        <w:t xml:space="preserve">auf </w:t>
      </w:r>
      <w:r w:rsidR="00B375B9">
        <w:t>mehr als 1,3 Mrd. Euro</w:t>
      </w:r>
      <w:r w:rsidR="00683653">
        <w:t xml:space="preserve"> </w:t>
      </w:r>
    </w:p>
    <w:p w14:paraId="0F878952" w14:textId="27806B3D" w:rsidR="00261B16" w:rsidRPr="008A69D8" w:rsidRDefault="00B375B9" w:rsidP="00261B16">
      <w:pPr>
        <w:pStyle w:val="MMU2"/>
        <w:spacing w:after="0"/>
      </w:pPr>
      <w:r>
        <w:t>EBIT legt um 13 Prozent auf 63 Mio. Euro zu</w:t>
      </w:r>
    </w:p>
    <w:p w14:paraId="32AE814E" w14:textId="5D75D8AF" w:rsidR="00A92505" w:rsidRPr="006F0BE8" w:rsidRDefault="00B375B9" w:rsidP="00B375B9">
      <w:pPr>
        <w:pStyle w:val="MMU2"/>
      </w:pPr>
      <w:r>
        <w:t>Prognose für das Gesamtjahr bestätigt</w:t>
      </w:r>
    </w:p>
    <w:p w14:paraId="39B4D681" w14:textId="4DE2D7EB" w:rsidR="00733E8F" w:rsidRDefault="00030FC6" w:rsidP="00913306">
      <w:pPr>
        <w:pStyle w:val="MMVorspann"/>
      </w:pPr>
      <w:r>
        <w:t>Nürnberg, 16</w:t>
      </w:r>
      <w:r w:rsidR="003D4445">
        <w:t>. Mai</w:t>
      </w:r>
      <w:r w:rsidR="00A92505" w:rsidRPr="009A1070">
        <w:t xml:space="preserve"> 20</w:t>
      </w:r>
      <w:r w:rsidR="00A92505">
        <w:t>1</w:t>
      </w:r>
      <w:r w:rsidR="0011372F">
        <w:t>8</w:t>
      </w:r>
      <w:r w:rsidR="00A92505" w:rsidRPr="009A1070">
        <w:t xml:space="preserve"> – </w:t>
      </w:r>
      <w:r w:rsidR="00A92505" w:rsidRPr="003A379E">
        <w:t xml:space="preserve">Leoni, </w:t>
      </w:r>
      <w:r w:rsidR="0011372F" w:rsidRPr="003A379E">
        <w:t>globaler Lösungsanbieter für das Energie- und Datenmanagement in der Automobilbranche und weiteren Industrien</w:t>
      </w:r>
      <w:r w:rsidR="00A92505" w:rsidRPr="003A379E">
        <w:t xml:space="preserve">, </w:t>
      </w:r>
      <w:r w:rsidR="00F811D3" w:rsidRPr="003A379E">
        <w:t>ist sehr erfolgreich in das Jahr 2018 gestartet:</w:t>
      </w:r>
      <w:r w:rsidR="008A346F" w:rsidRPr="003A379E">
        <w:t xml:space="preserve"> Aufgrund der unverändert hohen Nachfrage der weltweiten Fahrzeugindustrie stieg der Konzernumsatz in den ersten drei Monaten um 9 Prozent auf 1,</w:t>
      </w:r>
      <w:r w:rsidR="003A379E" w:rsidRPr="003A379E">
        <w:t>33</w:t>
      </w:r>
      <w:r w:rsidR="00395C57">
        <w:t xml:space="preserve"> M</w:t>
      </w:r>
      <w:r w:rsidR="003A379E" w:rsidRPr="003A379E">
        <w:t>r</w:t>
      </w:r>
      <w:r w:rsidR="00395C57">
        <w:t>d</w:t>
      </w:r>
      <w:r w:rsidR="003A379E" w:rsidRPr="003A379E">
        <w:t xml:space="preserve">. Euro (Vorjahr: 1,22 Mrd. Euro) und damit auf einen Quartals-Höchstwert. </w:t>
      </w:r>
      <w:r w:rsidR="00733E8F">
        <w:t xml:space="preserve">Organisch wuchs das Unternehmen um 14 Prozent. </w:t>
      </w:r>
      <w:r w:rsidR="00733E8F" w:rsidRPr="00733E8F">
        <w:t xml:space="preserve">Gegenläufig wirkten sich Währungsumrechnungseffekte </w:t>
      </w:r>
      <w:r w:rsidR="00733E8F">
        <w:t>und Veränderungen im Konsolidierungskreis aus.</w:t>
      </w:r>
    </w:p>
    <w:p w14:paraId="7E7F68C4" w14:textId="3278E873" w:rsidR="006511C9" w:rsidRDefault="00913306" w:rsidP="00B82FD5">
      <w:pPr>
        <w:pStyle w:val="MMFlietext"/>
      </w:pPr>
      <w:r w:rsidRPr="00733E8F">
        <w:t xml:space="preserve">Das Ergebnis vor Zinsen und Steuern (EBIT) </w:t>
      </w:r>
      <w:r w:rsidR="00733E8F">
        <w:t xml:space="preserve">des </w:t>
      </w:r>
      <w:r w:rsidR="00174507">
        <w:t>ersten</w:t>
      </w:r>
      <w:r w:rsidR="00733E8F">
        <w:t xml:space="preserve"> Quartals </w:t>
      </w:r>
      <w:r w:rsidRPr="00733E8F">
        <w:t>nahm von 5</w:t>
      </w:r>
      <w:r w:rsidR="002965B8">
        <w:t>6</w:t>
      </w:r>
      <w:r w:rsidRPr="00733E8F">
        <w:t xml:space="preserve"> Mio. Euro im </w:t>
      </w:r>
      <w:r w:rsidR="00733E8F">
        <w:t>Vorjahr</w:t>
      </w:r>
      <w:r w:rsidRPr="00733E8F">
        <w:t xml:space="preserve"> auf </w:t>
      </w:r>
      <w:r w:rsidR="00E86D57">
        <w:t>nunmehr</w:t>
      </w:r>
      <w:r w:rsidRPr="00733E8F">
        <w:t xml:space="preserve"> 63 Mio. Euro zu</w:t>
      </w:r>
      <w:r w:rsidR="004D643A">
        <w:t>.</w:t>
      </w:r>
      <w:r w:rsidR="00125065">
        <w:t xml:space="preserve"> </w:t>
      </w:r>
      <w:r w:rsidR="004D643A">
        <w:t>D</w:t>
      </w:r>
      <w:r w:rsidR="00125065">
        <w:t xml:space="preserve">as entspricht </w:t>
      </w:r>
      <w:r w:rsidR="00B82FD5">
        <w:t>einem Plus von 13 Prozent</w:t>
      </w:r>
      <w:r w:rsidR="004D643A">
        <w:t xml:space="preserve"> und einer EBIT-Marge von 4,7 Prozent (Vorjahr: 4,6 Prozent)</w:t>
      </w:r>
      <w:r w:rsidR="00125065">
        <w:t>.</w:t>
      </w:r>
      <w:r w:rsidR="00125065" w:rsidRPr="00125065">
        <w:t xml:space="preserve"> </w:t>
      </w:r>
      <w:r w:rsidR="004D643A">
        <w:t>Das</w:t>
      </w:r>
      <w:r w:rsidR="00125065">
        <w:t xml:space="preserve"> bereinigte EBIT </w:t>
      </w:r>
      <w:r w:rsidR="004D643A">
        <w:t xml:space="preserve">stieg </w:t>
      </w:r>
      <w:r w:rsidR="002E1CB0">
        <w:t xml:space="preserve">um </w:t>
      </w:r>
      <w:r w:rsidR="00445A33">
        <w:t>rund 18</w:t>
      </w:r>
      <w:r w:rsidR="002E1CB0">
        <w:t xml:space="preserve"> Prozent </w:t>
      </w:r>
      <w:r w:rsidR="002E1CB0" w:rsidRPr="00BB3192">
        <w:t>auf 6</w:t>
      </w:r>
      <w:r w:rsidR="00421378" w:rsidRPr="00BB3192">
        <w:t>4</w:t>
      </w:r>
      <w:r w:rsidR="002E1CB0" w:rsidRPr="00BB3192">
        <w:t xml:space="preserve"> Mio</w:t>
      </w:r>
      <w:r w:rsidR="002E1CB0">
        <w:t>. Euro</w:t>
      </w:r>
      <w:r w:rsidR="009D5AE9">
        <w:t>,</w:t>
      </w:r>
      <w:r w:rsidR="002E1CB0">
        <w:t xml:space="preserve"> und damit </w:t>
      </w:r>
      <w:r w:rsidR="0003754B">
        <w:t xml:space="preserve">verbesserte sich </w:t>
      </w:r>
      <w:r w:rsidR="002E1CB0">
        <w:t>die entsprechende Marge</w:t>
      </w:r>
      <w:r w:rsidR="00125065">
        <w:t xml:space="preserve"> </w:t>
      </w:r>
      <w:r w:rsidR="00125065" w:rsidRPr="00733E8F">
        <w:t xml:space="preserve">von 4,5 auf </w:t>
      </w:r>
      <w:r w:rsidR="00125065">
        <w:t xml:space="preserve">aktuell </w:t>
      </w:r>
      <w:r w:rsidR="00125065" w:rsidRPr="00733E8F">
        <w:t>4,9 Prozent</w:t>
      </w:r>
      <w:r w:rsidR="00125065">
        <w:t xml:space="preserve">. </w:t>
      </w:r>
      <w:r w:rsidR="00B82FD5" w:rsidRPr="00B82FD5">
        <w:t>I</w:t>
      </w:r>
      <w:r w:rsidR="00B82FD5">
        <w:t xml:space="preserve">m </w:t>
      </w:r>
      <w:r w:rsidR="00125065">
        <w:t xml:space="preserve">berichteten </w:t>
      </w:r>
      <w:r w:rsidR="00B82FD5">
        <w:t xml:space="preserve">EBIT </w:t>
      </w:r>
      <w:r w:rsidR="00B82FD5" w:rsidRPr="00B82FD5">
        <w:t xml:space="preserve">sind 4 Mio. Euro </w:t>
      </w:r>
      <w:r w:rsidR="00B82FD5">
        <w:t xml:space="preserve">(Vorjahr: 3 Mio. Euro) </w:t>
      </w:r>
      <w:r w:rsidR="00B82FD5" w:rsidRPr="00B82FD5">
        <w:t xml:space="preserve">aus der früheren Umsatzrealisierung durch die Anwendung des Rechnungslegungsstandards IFRS 15 enthalten. </w:t>
      </w:r>
      <w:r w:rsidR="0080643F">
        <w:t>D</w:t>
      </w:r>
      <w:r w:rsidR="0080643F" w:rsidRPr="0080643F">
        <w:t>er Konzernüberschuss</w:t>
      </w:r>
      <w:r w:rsidR="0080643F">
        <w:t xml:space="preserve"> </w:t>
      </w:r>
      <w:r w:rsidR="008B24BA">
        <w:t>verbesserte sich</w:t>
      </w:r>
      <w:r w:rsidR="00174507">
        <w:t xml:space="preserve"> </w:t>
      </w:r>
      <w:r w:rsidR="002E1CB0">
        <w:t xml:space="preserve">um 19 Prozent </w:t>
      </w:r>
      <w:r w:rsidR="00B82FD5">
        <w:t>auf 4</w:t>
      </w:r>
      <w:r w:rsidR="002965B8">
        <w:t>4</w:t>
      </w:r>
      <w:r w:rsidR="00B82FD5">
        <w:t xml:space="preserve"> Mio. Euro (</w:t>
      </w:r>
      <w:r w:rsidR="0080643F" w:rsidRPr="0080643F">
        <w:t>Vorjahr</w:t>
      </w:r>
      <w:r w:rsidR="00B82FD5">
        <w:t>:</w:t>
      </w:r>
      <w:r w:rsidR="0080643F">
        <w:t xml:space="preserve"> 3</w:t>
      </w:r>
      <w:r w:rsidR="002965B8">
        <w:t>7</w:t>
      </w:r>
      <w:r w:rsidR="0080643F">
        <w:t xml:space="preserve"> Mio. Euro</w:t>
      </w:r>
      <w:r w:rsidR="00B82FD5">
        <w:t>).</w:t>
      </w:r>
      <w:bookmarkStart w:id="0" w:name="_GoBack"/>
      <w:bookmarkEnd w:id="0"/>
    </w:p>
    <w:p w14:paraId="29EDC26A" w14:textId="3990AB35" w:rsidR="0088609B" w:rsidRDefault="0088609B" w:rsidP="00B82FD5">
      <w:pPr>
        <w:pStyle w:val="MMFlietext"/>
      </w:pPr>
      <w:r>
        <w:t>„</w:t>
      </w:r>
      <w:r w:rsidR="003D5BD6">
        <w:t>L</w:t>
      </w:r>
      <w:r w:rsidR="00445A33">
        <w:t>eoni</w:t>
      </w:r>
      <w:r w:rsidR="003D5BD6">
        <w:t xml:space="preserve"> ist sehr gut ins Jahr 2018 gestartet. Besonders erfreulich sind unser starkes organisches Wachstum und die verbesserte Profitabilität</w:t>
      </w:r>
      <w:r>
        <w:t xml:space="preserve">“, sagt Karl Gadesmann, CFO und Sprecher des Vorstands der Leoni AG. </w:t>
      </w:r>
      <w:r w:rsidR="00662D5D">
        <w:t>„</w:t>
      </w:r>
      <w:r w:rsidR="00445A33">
        <w:t xml:space="preserve">Wir sind </w:t>
      </w:r>
      <w:r w:rsidR="003D5BD6" w:rsidRPr="003D5BD6">
        <w:t>auf gutem Weg, das Jahresziel zu erreichen</w:t>
      </w:r>
      <w:r>
        <w:t>.“</w:t>
      </w:r>
    </w:p>
    <w:p w14:paraId="64CBAD8C" w14:textId="631FD90B" w:rsidR="00B82FD5" w:rsidRPr="00B82FD5" w:rsidRDefault="00B82FD5" w:rsidP="00B82FD5">
      <w:pPr>
        <w:pStyle w:val="MMFlietext"/>
      </w:pPr>
      <w:r w:rsidRPr="00B82FD5">
        <w:t>Im ersten Quartal 2018 betrugen die Investitionen in Sachanlagen und immaterielle Vermögenswerte 5</w:t>
      </w:r>
      <w:r w:rsidR="002965B8">
        <w:t>7</w:t>
      </w:r>
      <w:r w:rsidRPr="00B82FD5">
        <w:t xml:space="preserve"> Mio. </w:t>
      </w:r>
      <w:r w:rsidR="002965B8">
        <w:t xml:space="preserve">Euro nach </w:t>
      </w:r>
      <w:r w:rsidRPr="00B82FD5">
        <w:t>4</w:t>
      </w:r>
      <w:r w:rsidR="002965B8">
        <w:t>7</w:t>
      </w:r>
      <w:r w:rsidRPr="00B82FD5">
        <w:t xml:space="preserve"> Mio. </w:t>
      </w:r>
      <w:r w:rsidR="002965B8">
        <w:t xml:space="preserve">Euro im Vorjahr. Dies entspricht </w:t>
      </w:r>
      <w:r w:rsidR="00174507">
        <w:t>einem Anstieg</w:t>
      </w:r>
      <w:r w:rsidR="002965B8">
        <w:t xml:space="preserve"> um 22 Prozent. Der Free </w:t>
      </w:r>
      <w:r w:rsidRPr="00B82FD5">
        <w:t xml:space="preserve">Cashflow </w:t>
      </w:r>
      <w:r w:rsidR="002965B8">
        <w:t>beläuft sich von Januar bis März 2018 auf -</w:t>
      </w:r>
      <w:r w:rsidRPr="00B82FD5">
        <w:t xml:space="preserve">111 Mio. </w:t>
      </w:r>
      <w:r w:rsidR="002965B8">
        <w:t xml:space="preserve">Euro </w:t>
      </w:r>
      <w:r w:rsidRPr="00B82FD5">
        <w:t xml:space="preserve">(Vorjahr: </w:t>
      </w:r>
      <w:r w:rsidR="002965B8">
        <w:t>-</w:t>
      </w:r>
      <w:r w:rsidRPr="00B82FD5">
        <w:t xml:space="preserve">71 Mio. </w:t>
      </w:r>
      <w:r w:rsidR="002965B8">
        <w:t>Euro).</w:t>
      </w:r>
    </w:p>
    <w:p w14:paraId="3D192244" w14:textId="3A6C2374" w:rsidR="003824A2" w:rsidRDefault="003824A2" w:rsidP="00B82FD5">
      <w:pPr>
        <w:pStyle w:val="MMFlietext"/>
      </w:pPr>
      <w:r>
        <w:lastRenderedPageBreak/>
        <w:t xml:space="preserve">Der Unternehmensbereich </w:t>
      </w:r>
      <w:proofErr w:type="spellStart"/>
      <w:r>
        <w:t>Wiring</w:t>
      </w:r>
      <w:proofErr w:type="spellEnd"/>
      <w:r>
        <w:t xml:space="preserve"> Systems </w:t>
      </w:r>
      <w:r w:rsidR="002965B8">
        <w:t>steigerte aufgrund der</w:t>
      </w:r>
      <w:r>
        <w:t xml:space="preserve"> anhaltend dynamische</w:t>
      </w:r>
      <w:r w:rsidR="002965B8">
        <w:t>n</w:t>
      </w:r>
      <w:r w:rsidR="00222871">
        <w:t xml:space="preserve"> Nachfrage seinen Umsatz</w:t>
      </w:r>
      <w:r>
        <w:t xml:space="preserve"> </w:t>
      </w:r>
      <w:r w:rsidR="00222871">
        <w:t>im ersten Quartal</w:t>
      </w:r>
      <w:r w:rsidR="00222871" w:rsidRPr="00222871">
        <w:t xml:space="preserve"> um r</w:t>
      </w:r>
      <w:r w:rsidR="00222871">
        <w:t>und 13 Prozent auf 84</w:t>
      </w:r>
      <w:r w:rsidR="002965B8">
        <w:t>2</w:t>
      </w:r>
      <w:r w:rsidR="00222871">
        <w:t xml:space="preserve"> Mio. Euro </w:t>
      </w:r>
      <w:r w:rsidR="00222871" w:rsidRPr="002965B8">
        <w:t>(</w:t>
      </w:r>
      <w:r w:rsidR="00D01274">
        <w:t xml:space="preserve">Vorjahr: </w:t>
      </w:r>
      <w:r w:rsidR="002965B8" w:rsidRPr="002965B8">
        <w:t>747 Mio. Euro)</w:t>
      </w:r>
      <w:r w:rsidR="00222871" w:rsidRPr="00222871">
        <w:t xml:space="preserve">. </w:t>
      </w:r>
      <w:r w:rsidR="00815946">
        <w:t xml:space="preserve">Das </w:t>
      </w:r>
      <w:r w:rsidR="002965B8">
        <w:t>Segment</w:t>
      </w:r>
      <w:r w:rsidR="00815946">
        <w:t>-</w:t>
      </w:r>
      <w:r w:rsidR="00815946" w:rsidRPr="00815946">
        <w:t xml:space="preserve">EBIT </w:t>
      </w:r>
      <w:r w:rsidR="002965B8">
        <w:t xml:space="preserve">wuchs </w:t>
      </w:r>
      <w:r w:rsidR="00815946">
        <w:t>deutlich von 2</w:t>
      </w:r>
      <w:r w:rsidR="002965B8">
        <w:t>6</w:t>
      </w:r>
      <w:r w:rsidR="00815946">
        <w:t xml:space="preserve"> Mio. Euro</w:t>
      </w:r>
      <w:r w:rsidR="00815946" w:rsidRPr="00815946">
        <w:t xml:space="preserve"> </w:t>
      </w:r>
      <w:r w:rsidR="002965B8">
        <w:t xml:space="preserve">im Vorjahr auf aktuell </w:t>
      </w:r>
      <w:r w:rsidR="00815946" w:rsidRPr="00815946">
        <w:t>4</w:t>
      </w:r>
      <w:r w:rsidR="002965B8">
        <w:t>2</w:t>
      </w:r>
      <w:r w:rsidR="00815946" w:rsidRPr="00815946">
        <w:t xml:space="preserve"> Mio. </w:t>
      </w:r>
      <w:r w:rsidR="00815946">
        <w:t>Euro</w:t>
      </w:r>
      <w:r w:rsidR="002965B8">
        <w:t xml:space="preserve"> – im Wesentlichen aufgrund zusätzlicher Deckungsbeiträge aus </w:t>
      </w:r>
      <w:r w:rsidR="00222871" w:rsidRPr="00222871">
        <w:t>höhere</w:t>
      </w:r>
      <w:r w:rsidR="002965B8">
        <w:t>n</w:t>
      </w:r>
      <w:r w:rsidR="00222871" w:rsidRPr="00222871">
        <w:t xml:space="preserve"> Umsätze</w:t>
      </w:r>
      <w:r w:rsidR="00D01274">
        <w:t>n</w:t>
      </w:r>
      <w:r w:rsidR="00222871" w:rsidRPr="00222871">
        <w:t xml:space="preserve"> mit europäischen Herstellern sowie im Bereich Nutzfahrzeuge</w:t>
      </w:r>
      <w:r w:rsidR="002965B8">
        <w:t xml:space="preserve">. </w:t>
      </w:r>
      <w:r w:rsidR="006E49BF" w:rsidRPr="00445A33">
        <w:t xml:space="preserve">Der </w:t>
      </w:r>
      <w:r w:rsidR="008A1047" w:rsidRPr="00445A33">
        <w:t xml:space="preserve">Auftragseingang von Januar bis März </w:t>
      </w:r>
      <w:r w:rsidR="006E49BF" w:rsidRPr="00445A33">
        <w:t xml:space="preserve">betrug </w:t>
      </w:r>
      <w:r w:rsidR="008A1047" w:rsidRPr="00445A33">
        <w:t xml:space="preserve">1,1 Mrd. Euro. </w:t>
      </w:r>
      <w:r w:rsidR="006E49BF" w:rsidRPr="00445A33">
        <w:t>Somit belief sich der Gesamt-Auftragsbestand der Divis</w:t>
      </w:r>
      <w:r w:rsidR="00D01274" w:rsidRPr="00445A33">
        <w:t>i</w:t>
      </w:r>
      <w:r w:rsidR="006E49BF" w:rsidRPr="00445A33">
        <w:t xml:space="preserve">on </w:t>
      </w:r>
      <w:r w:rsidR="008B24BA" w:rsidRPr="00445A33">
        <w:t xml:space="preserve">per </w:t>
      </w:r>
      <w:r w:rsidR="006E49BF" w:rsidRPr="00445A33">
        <w:t xml:space="preserve">Ende März 2018 auf 22 Mrd. Euro. </w:t>
      </w:r>
      <w:r w:rsidR="0003754B" w:rsidRPr="00445A33">
        <w:rPr>
          <w:bCs/>
        </w:rPr>
        <w:t xml:space="preserve">Davon </w:t>
      </w:r>
      <w:r w:rsidR="00DC19CD" w:rsidRPr="00445A33">
        <w:rPr>
          <w:bCs/>
        </w:rPr>
        <w:t>entfielen</w:t>
      </w:r>
      <w:r w:rsidR="0003754B" w:rsidRPr="00445A33">
        <w:rPr>
          <w:bCs/>
        </w:rPr>
        <w:t xml:space="preserve"> 4,5 Mrd. </w:t>
      </w:r>
      <w:r w:rsidR="00445A33">
        <w:rPr>
          <w:bCs/>
        </w:rPr>
        <w:t>Euro</w:t>
      </w:r>
      <w:r w:rsidR="0003754B" w:rsidRPr="00445A33">
        <w:rPr>
          <w:bCs/>
        </w:rPr>
        <w:t xml:space="preserve"> auf elektrisch angetriebene Fahrzeuge. </w:t>
      </w:r>
      <w:r w:rsidR="006E49BF" w:rsidRPr="00445A33">
        <w:t xml:space="preserve">Der Bordnetz-Bereich </w:t>
      </w:r>
      <w:r w:rsidRPr="00445A33">
        <w:t xml:space="preserve">investierte </w:t>
      </w:r>
      <w:r w:rsidR="006E49BF" w:rsidRPr="00445A33">
        <w:t xml:space="preserve">zu Jahresbeginn </w:t>
      </w:r>
      <w:r w:rsidR="00E24FA9" w:rsidRPr="00445A33">
        <w:t>stark in zukünftiges Wachstum.</w:t>
      </w:r>
      <w:r w:rsidR="00FF2217" w:rsidRPr="00445A33">
        <w:t xml:space="preserve"> Der Schwerpunkt lag auf</w:t>
      </w:r>
      <w:r w:rsidR="00E24FA9" w:rsidRPr="00445A33">
        <w:t xml:space="preserve"> Standorterweiterungen sowie dem</w:t>
      </w:r>
      <w:r w:rsidR="00FF2217" w:rsidRPr="00445A33">
        <w:t xml:space="preserve"> Aufbau neuer Werke, insbesondere in Mexiko, Serbien und Marokko.</w:t>
      </w:r>
    </w:p>
    <w:p w14:paraId="08445197" w14:textId="2BFF7216" w:rsidR="003824A2" w:rsidRDefault="006E49BF" w:rsidP="00440769">
      <w:pPr>
        <w:pStyle w:val="MMFlietext"/>
      </w:pPr>
      <w:r>
        <w:t>Der Unternehmensb</w:t>
      </w:r>
      <w:r w:rsidR="003824A2">
        <w:t xml:space="preserve">ereich </w:t>
      </w:r>
      <w:proofErr w:type="spellStart"/>
      <w:r w:rsidR="003824A2">
        <w:t>Wire</w:t>
      </w:r>
      <w:proofErr w:type="spellEnd"/>
      <w:r w:rsidR="003824A2">
        <w:t xml:space="preserve"> &amp; Cable Solutions erzielte </w:t>
      </w:r>
      <w:r>
        <w:t xml:space="preserve">im </w:t>
      </w:r>
      <w:r w:rsidR="008B24BA">
        <w:t>ersten</w:t>
      </w:r>
      <w:r>
        <w:t xml:space="preserve"> Quartal 2018 </w:t>
      </w:r>
      <w:r w:rsidR="00410B1E">
        <w:t>ein organisches Wachstum</w:t>
      </w:r>
      <w:r>
        <w:t xml:space="preserve"> von knapp 11 Prozent</w:t>
      </w:r>
      <w:r w:rsidR="00410B1E">
        <w:t xml:space="preserve">, </w:t>
      </w:r>
      <w:r>
        <w:t xml:space="preserve">das den Umsatzwegfall </w:t>
      </w:r>
      <w:r w:rsidRPr="006E49BF">
        <w:t xml:space="preserve">durch den im Mai 2017 abgeschlossenen Verkauf der Business Group </w:t>
      </w:r>
      <w:proofErr w:type="spellStart"/>
      <w:r w:rsidRPr="006E49BF">
        <w:t>Electrical</w:t>
      </w:r>
      <w:proofErr w:type="spellEnd"/>
      <w:r w:rsidRPr="006E49BF">
        <w:t xml:space="preserve"> Appliance </w:t>
      </w:r>
      <w:proofErr w:type="spellStart"/>
      <w:r w:rsidRPr="006E49BF">
        <w:t>Assemblies</w:t>
      </w:r>
      <w:proofErr w:type="spellEnd"/>
      <w:r w:rsidRPr="006E49BF">
        <w:t xml:space="preserve"> überkompensier</w:t>
      </w:r>
      <w:r>
        <w:t xml:space="preserve">te. </w:t>
      </w:r>
      <w:r w:rsidR="00721D01" w:rsidRPr="006E49BF">
        <w:t>Bewertun</w:t>
      </w:r>
      <w:r w:rsidR="00721D01" w:rsidRPr="00AB5F36">
        <w:t>gseffekte</w:t>
      </w:r>
      <w:r w:rsidR="00721D01" w:rsidRPr="006E49BF">
        <w:t xml:space="preserve"> aus </w:t>
      </w:r>
      <w:r w:rsidR="00721D01">
        <w:t>dem zum Stichtag</w:t>
      </w:r>
      <w:r w:rsidR="00721D01" w:rsidRPr="006E49BF">
        <w:t xml:space="preserve"> gesunkenen Kupferprei</w:t>
      </w:r>
      <w:r w:rsidR="00721D01">
        <w:t xml:space="preserve">s </w:t>
      </w:r>
      <w:r w:rsidR="00721D01" w:rsidRPr="006E49BF">
        <w:t>sowie Währungs</w:t>
      </w:r>
      <w:r w:rsidR="00E86D57">
        <w:t xml:space="preserve">veränderungen </w:t>
      </w:r>
      <w:r w:rsidR="00721D01">
        <w:t>wirkten sich b</w:t>
      </w:r>
      <w:r w:rsidR="00721D01" w:rsidRPr="006E49BF">
        <w:t>elastend</w:t>
      </w:r>
      <w:r w:rsidR="00721D01">
        <w:t xml:space="preserve"> auf das Ergebnis aus, so dass </w:t>
      </w:r>
      <w:r w:rsidR="008B24BA">
        <w:t xml:space="preserve">sich </w:t>
      </w:r>
      <w:r w:rsidR="00721D01">
        <w:t>das S</w:t>
      </w:r>
      <w:r>
        <w:t>egment-</w:t>
      </w:r>
      <w:r w:rsidRPr="00410B1E">
        <w:t xml:space="preserve">EBIT </w:t>
      </w:r>
      <w:r w:rsidR="00721D01">
        <w:t xml:space="preserve">auf </w:t>
      </w:r>
      <w:r w:rsidRPr="00410B1E">
        <w:t>2</w:t>
      </w:r>
      <w:r w:rsidR="00721D01">
        <w:t>2</w:t>
      </w:r>
      <w:r w:rsidRPr="00410B1E">
        <w:t xml:space="preserve"> Mio.</w:t>
      </w:r>
      <w:r>
        <w:t xml:space="preserve"> Euro</w:t>
      </w:r>
      <w:r w:rsidRPr="00410B1E">
        <w:t xml:space="preserve"> </w:t>
      </w:r>
      <w:r>
        <w:t>(Vorjahr: 25 Mio. Euro)</w:t>
      </w:r>
      <w:r w:rsidR="00721D01">
        <w:t xml:space="preserve"> </w:t>
      </w:r>
      <w:r w:rsidR="008B24BA">
        <w:t>verringerte</w:t>
      </w:r>
      <w:r>
        <w:t xml:space="preserve">. </w:t>
      </w:r>
      <w:r w:rsidR="00410B1E" w:rsidRPr="00445A33">
        <w:t xml:space="preserve">Der Auftragseingang nahm von Januar bis März </w:t>
      </w:r>
      <w:r w:rsidRPr="00445A33">
        <w:t xml:space="preserve">leicht </w:t>
      </w:r>
      <w:r w:rsidR="00410B1E" w:rsidRPr="00445A33">
        <w:t xml:space="preserve">auf 498 Mio. Euro </w:t>
      </w:r>
      <w:r w:rsidRPr="00445A33">
        <w:t xml:space="preserve">(Vorjahr: 490 Mio. Euro) </w:t>
      </w:r>
      <w:r w:rsidR="00410B1E" w:rsidRPr="00445A33">
        <w:t xml:space="preserve">zu. </w:t>
      </w:r>
      <w:r w:rsidR="00D517EE" w:rsidRPr="00445A33">
        <w:t xml:space="preserve">Im </w:t>
      </w:r>
      <w:r w:rsidR="008B24BA" w:rsidRPr="00445A33">
        <w:t>ersten</w:t>
      </w:r>
      <w:r w:rsidR="00D517EE" w:rsidRPr="00445A33">
        <w:t xml:space="preserve"> Quartal </w:t>
      </w:r>
      <w:r w:rsidR="00034542" w:rsidRPr="00445A33">
        <w:t xml:space="preserve">stellte </w:t>
      </w:r>
      <w:r w:rsidR="00D517EE" w:rsidRPr="00445A33">
        <w:t xml:space="preserve">der Unternehmensbereich </w:t>
      </w:r>
      <w:r w:rsidR="00034542" w:rsidRPr="00445A33">
        <w:t xml:space="preserve">seine intelligente Kabeltechnologie </w:t>
      </w:r>
      <w:proofErr w:type="spellStart"/>
      <w:r w:rsidR="00034542" w:rsidRPr="00445A33">
        <w:t>LEONiQ</w:t>
      </w:r>
      <w:proofErr w:type="spellEnd"/>
      <w:r w:rsidR="00034542" w:rsidRPr="00445A33">
        <w:t xml:space="preserve"> vor</w:t>
      </w:r>
      <w:r w:rsidR="00D517EE" w:rsidRPr="00445A33">
        <w:t>.</w:t>
      </w:r>
      <w:r w:rsidR="00034542" w:rsidRPr="00445A33">
        <w:t xml:space="preserve"> Durch Erfass</w:t>
      </w:r>
      <w:r w:rsidR="00D517EE" w:rsidRPr="00445A33">
        <w:t>ung</w:t>
      </w:r>
      <w:r w:rsidR="00034542" w:rsidRPr="00445A33">
        <w:t xml:space="preserve"> und Auswertung </w:t>
      </w:r>
      <w:r w:rsidR="00D517EE" w:rsidRPr="00445A33">
        <w:t xml:space="preserve">von </w:t>
      </w:r>
      <w:r w:rsidR="00034542" w:rsidRPr="00445A33">
        <w:t>Parameter</w:t>
      </w:r>
      <w:r w:rsidR="00D517EE" w:rsidRPr="00445A33">
        <w:t xml:space="preserve">n </w:t>
      </w:r>
      <w:r w:rsidR="00034542" w:rsidRPr="00445A33">
        <w:t>wie Temperatur oder mechanische Belastung</w:t>
      </w:r>
      <w:r w:rsidR="00D517EE" w:rsidRPr="00445A33">
        <w:t xml:space="preserve"> sind </w:t>
      </w:r>
      <w:r w:rsidR="00034542" w:rsidRPr="00445A33">
        <w:t>Rückschlüsse auf den Zustand des Kabelsystems</w:t>
      </w:r>
      <w:r w:rsidR="00D517EE" w:rsidRPr="00445A33">
        <w:t xml:space="preserve"> möglich</w:t>
      </w:r>
      <w:r w:rsidR="00440769" w:rsidRPr="00445A33">
        <w:t>, was vorausschauende Instandhaltung oder nutzenbasierte Abrechnungsmodelle ermöglicht.</w:t>
      </w:r>
    </w:p>
    <w:p w14:paraId="58F8F6AE" w14:textId="28A9B52B" w:rsidR="003824A2" w:rsidRDefault="00733E8F" w:rsidP="00B82FD5">
      <w:pPr>
        <w:pStyle w:val="MMFlietext"/>
      </w:pPr>
      <w:r w:rsidRPr="00733E8F">
        <w:t>Leoni schafft</w:t>
      </w:r>
      <w:r w:rsidR="00D517EE">
        <w:t>e im Auftaktquartal e</w:t>
      </w:r>
      <w:r w:rsidRPr="00733E8F">
        <w:t xml:space="preserve">ine solide Grundlage </w:t>
      </w:r>
      <w:r w:rsidR="00D517EE">
        <w:t xml:space="preserve">zur Erreichung der Jahresprognose </w:t>
      </w:r>
      <w:r w:rsidR="003824A2">
        <w:t xml:space="preserve">2018. </w:t>
      </w:r>
      <w:r w:rsidR="00D517EE">
        <w:t xml:space="preserve">Das </w:t>
      </w:r>
      <w:r w:rsidR="00363AC0">
        <w:t>Unternehmen</w:t>
      </w:r>
      <w:r w:rsidR="003824A2">
        <w:t xml:space="preserve"> </w:t>
      </w:r>
      <w:r w:rsidR="00D517EE">
        <w:t xml:space="preserve">geht </w:t>
      </w:r>
      <w:r w:rsidR="003824A2">
        <w:t xml:space="preserve">weiterhin davon aus, </w:t>
      </w:r>
      <w:r w:rsidR="003621D6">
        <w:t xml:space="preserve">im Geschäftsjahr 2018 </w:t>
      </w:r>
      <w:r w:rsidR="003824A2">
        <w:t>einen Konzern</w:t>
      </w:r>
      <w:r w:rsidR="00363AC0">
        <w:t>umsatz von mindestens 5 Mrd. Euro</w:t>
      </w:r>
      <w:r w:rsidR="003824A2">
        <w:t xml:space="preserve"> sowie ein Konzern-EBIT </w:t>
      </w:r>
      <w:r w:rsidR="00363AC0">
        <w:t>zwischen 215 und 235 Mio. Euro</w:t>
      </w:r>
      <w:r w:rsidR="003824A2">
        <w:t xml:space="preserve"> zu erzielen.</w:t>
      </w:r>
    </w:p>
    <w:p w14:paraId="28095397" w14:textId="3085BC43" w:rsidR="00A92505" w:rsidRPr="00C94F0F" w:rsidRDefault="00A92505" w:rsidP="00C94F0F">
      <w:pPr>
        <w:pStyle w:val="MMFlietext"/>
        <w:rPr>
          <w:i/>
        </w:rPr>
      </w:pPr>
      <w:r w:rsidRPr="00395815">
        <w:rPr>
          <w:i/>
        </w:rPr>
        <w:t>(</w:t>
      </w:r>
      <w:r w:rsidR="00A22DD6">
        <w:rPr>
          <w:i/>
        </w:rPr>
        <w:t>3.977</w:t>
      </w:r>
      <w:r w:rsidRPr="00395815">
        <w:rPr>
          <w:i/>
        </w:rPr>
        <w:t xml:space="preserve"> Anschläge inkl. Leerzeichen)</w:t>
      </w:r>
    </w:p>
    <w:p w14:paraId="1C628CB5" w14:textId="3EE7D298" w:rsidR="00410B1E" w:rsidRDefault="00A92505" w:rsidP="00410B1E">
      <w:pPr>
        <w:spacing w:before="120"/>
        <w:ind w:right="1711"/>
        <w:rPr>
          <w:rFonts w:ascii="Arial" w:hAnsi="Arial" w:cs="Arial"/>
          <w:i/>
          <w:sz w:val="22"/>
          <w:szCs w:val="22"/>
        </w:rPr>
      </w:pPr>
      <w:r w:rsidRPr="00FE68FC">
        <w:rPr>
          <w:rFonts w:ascii="Arial" w:hAnsi="Arial" w:cs="Arial"/>
          <w:sz w:val="36"/>
          <w:szCs w:val="36"/>
        </w:rPr>
        <w:lastRenderedPageBreak/>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A22DD6" w:rsidRPr="00B270C0">
          <w:rPr>
            <w:rStyle w:val="Hyperlink"/>
            <w:rFonts w:ascii="Arial" w:hAnsi="Arial" w:cs="Arial"/>
            <w:i/>
            <w:sz w:val="22"/>
            <w:szCs w:val="22"/>
          </w:rPr>
          <w:t>http://www.leoni.com/de/presse/mitteilungen/details/leoni-waechst-im-ersten-quartal-2018-um-14-prozent-aus-eigener-kraft/</w:t>
        </w:r>
      </w:hyperlink>
      <w:r w:rsidRPr="00FE68FC">
        <w:rPr>
          <w:rFonts w:ascii="Arial" w:hAnsi="Arial" w:cs="Arial"/>
          <w:i/>
          <w:sz w:val="22"/>
          <w:szCs w:val="22"/>
        </w:rPr>
        <w:t xml:space="preserve"> </w:t>
      </w:r>
    </w:p>
    <w:p w14:paraId="6C25FF87" w14:textId="22CE7958" w:rsidR="00AB5F36" w:rsidRPr="00445A33" w:rsidRDefault="00440769" w:rsidP="00445A33">
      <w:pPr>
        <w:ind w:right="1852"/>
        <w:rPr>
          <w:rFonts w:ascii="Arial" w:hAnsi="Arial" w:cs="Arial"/>
          <w:i/>
          <w:sz w:val="22"/>
          <w:szCs w:val="22"/>
        </w:rPr>
      </w:pPr>
      <w:r w:rsidRPr="00B30C8C">
        <w:rPr>
          <w:rFonts w:ascii="Arial" w:hAnsi="Arial" w:cs="Arial"/>
          <w:sz w:val="36"/>
          <w:szCs w:val="36"/>
        </w:rPr>
        <w:sym w:font="Wingdings" w:char="F046"/>
      </w:r>
      <w:r w:rsidRPr="00B30C8C">
        <w:rPr>
          <w:rFonts w:ascii="Arial" w:hAnsi="Arial" w:cs="Arial"/>
          <w:i/>
          <w:sz w:val="20"/>
          <w:szCs w:val="20"/>
        </w:rPr>
        <w:t xml:space="preserve"> </w:t>
      </w:r>
      <w:r w:rsidRPr="00B30C8C">
        <w:rPr>
          <w:rFonts w:ascii="Arial" w:hAnsi="Arial" w:cs="Arial"/>
          <w:i/>
          <w:sz w:val="22"/>
          <w:szCs w:val="22"/>
        </w:rPr>
        <w:t>D</w:t>
      </w:r>
      <w:r w:rsidR="00A22DD6">
        <w:rPr>
          <w:rFonts w:ascii="Arial" w:hAnsi="Arial" w:cs="Arial"/>
          <w:i/>
          <w:sz w:val="22"/>
          <w:szCs w:val="22"/>
        </w:rPr>
        <w:t xml:space="preserve">ie zugehörige </w:t>
      </w:r>
      <w:r>
        <w:rPr>
          <w:rFonts w:ascii="Arial" w:hAnsi="Arial" w:cs="Arial"/>
          <w:i/>
          <w:sz w:val="22"/>
          <w:szCs w:val="22"/>
        </w:rPr>
        <w:t>Quartals</w:t>
      </w:r>
      <w:r w:rsidR="00A22DD6">
        <w:rPr>
          <w:rFonts w:ascii="Arial" w:hAnsi="Arial" w:cs="Arial"/>
          <w:i/>
          <w:sz w:val="22"/>
          <w:szCs w:val="22"/>
        </w:rPr>
        <w:t>mitteilung</w:t>
      </w:r>
      <w:r w:rsidRPr="00B30C8C">
        <w:rPr>
          <w:rFonts w:ascii="Arial" w:hAnsi="Arial" w:cs="Arial"/>
          <w:i/>
          <w:sz w:val="22"/>
          <w:szCs w:val="22"/>
        </w:rPr>
        <w:t xml:space="preserve"> können Sie herunterladen unter </w:t>
      </w:r>
      <w:hyperlink r:id="rId9" w:history="1">
        <w:r w:rsidRPr="007923E9">
          <w:rPr>
            <w:rStyle w:val="Hyperlink"/>
            <w:rFonts w:ascii="Arial" w:hAnsi="Arial" w:cs="Arial"/>
            <w:i/>
            <w:sz w:val="22"/>
            <w:szCs w:val="22"/>
          </w:rPr>
          <w:t>www.leoni.com/de/finanzpublikationen</w:t>
        </w:r>
      </w:hyperlink>
    </w:p>
    <w:p w14:paraId="0BA01F22" w14:textId="1F932CAF" w:rsidR="00440769" w:rsidRDefault="00440769" w:rsidP="00440769">
      <w:pPr>
        <w:pStyle w:val="MMKurzprofilberschrift"/>
      </w:pPr>
      <w:r w:rsidRPr="006678E0">
        <w:t>Leoni-Konzernzahlen im Überblick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4"/>
        <w:gridCol w:w="1134"/>
        <w:gridCol w:w="1276"/>
      </w:tblGrid>
      <w:tr w:rsidR="00440769" w:rsidRPr="00AB5F36" w14:paraId="2391FF62" w14:textId="77777777" w:rsidTr="00016425">
        <w:tc>
          <w:tcPr>
            <w:tcW w:w="4361" w:type="dxa"/>
          </w:tcPr>
          <w:p w14:paraId="18D7163F" w14:textId="77777777" w:rsidR="00440769" w:rsidRPr="00AB5F36" w:rsidRDefault="00440769" w:rsidP="00016425">
            <w:pPr>
              <w:tabs>
                <w:tab w:val="left" w:pos="8505"/>
              </w:tabs>
              <w:rPr>
                <w:rFonts w:ascii="Arial" w:hAnsi="Arial" w:cs="Arial"/>
                <w:b/>
                <w:sz w:val="18"/>
                <w:szCs w:val="18"/>
              </w:rPr>
            </w:pPr>
            <w:r w:rsidRPr="00AB5F36">
              <w:rPr>
                <w:rFonts w:ascii="Arial" w:hAnsi="Arial" w:cs="Arial"/>
                <w:b/>
                <w:sz w:val="18"/>
                <w:szCs w:val="18"/>
              </w:rPr>
              <w:t>Kennzahlen Konzern</w:t>
            </w:r>
          </w:p>
        </w:tc>
        <w:tc>
          <w:tcPr>
            <w:tcW w:w="1134" w:type="dxa"/>
          </w:tcPr>
          <w:p w14:paraId="0E7D3FE3" w14:textId="31048BCE" w:rsidR="00440769" w:rsidRPr="00AB5F36" w:rsidRDefault="00440769" w:rsidP="004C1AB9">
            <w:pPr>
              <w:tabs>
                <w:tab w:val="left" w:pos="8505"/>
              </w:tabs>
              <w:jc w:val="center"/>
              <w:rPr>
                <w:rFonts w:ascii="Arial" w:hAnsi="Arial" w:cs="Arial"/>
                <w:b/>
                <w:sz w:val="18"/>
                <w:szCs w:val="18"/>
              </w:rPr>
            </w:pPr>
            <w:r w:rsidRPr="00AB5F36">
              <w:rPr>
                <w:rFonts w:ascii="Arial" w:hAnsi="Arial" w:cs="Arial"/>
                <w:b/>
                <w:sz w:val="18"/>
                <w:szCs w:val="18"/>
              </w:rPr>
              <w:t>1. Quartal 201</w:t>
            </w:r>
            <w:r w:rsidR="004C1AB9" w:rsidRPr="00AB5F36">
              <w:rPr>
                <w:rFonts w:ascii="Arial" w:hAnsi="Arial" w:cs="Arial"/>
                <w:b/>
                <w:sz w:val="18"/>
                <w:szCs w:val="18"/>
              </w:rPr>
              <w:t>8</w:t>
            </w:r>
          </w:p>
        </w:tc>
        <w:tc>
          <w:tcPr>
            <w:tcW w:w="1134" w:type="dxa"/>
          </w:tcPr>
          <w:p w14:paraId="7608A880" w14:textId="7C8C81E1" w:rsidR="00440769" w:rsidRPr="00AB5F36" w:rsidRDefault="00440769" w:rsidP="004C1AB9">
            <w:pPr>
              <w:tabs>
                <w:tab w:val="left" w:pos="8505"/>
              </w:tabs>
              <w:jc w:val="center"/>
              <w:rPr>
                <w:rFonts w:ascii="Arial" w:hAnsi="Arial" w:cs="Arial"/>
                <w:b/>
                <w:sz w:val="18"/>
                <w:szCs w:val="18"/>
              </w:rPr>
            </w:pPr>
            <w:r w:rsidRPr="00AB5F36">
              <w:rPr>
                <w:rFonts w:ascii="Arial" w:hAnsi="Arial" w:cs="Arial"/>
                <w:b/>
                <w:sz w:val="18"/>
                <w:szCs w:val="18"/>
              </w:rPr>
              <w:t>1. Quartal 201</w:t>
            </w:r>
            <w:r w:rsidR="004C1AB9" w:rsidRPr="00AB5F36">
              <w:rPr>
                <w:rFonts w:ascii="Arial" w:hAnsi="Arial" w:cs="Arial"/>
                <w:b/>
                <w:sz w:val="18"/>
                <w:szCs w:val="18"/>
              </w:rPr>
              <w:t xml:space="preserve">7 </w:t>
            </w:r>
            <w:r w:rsidR="004C1AB9" w:rsidRPr="00AB5F36">
              <w:rPr>
                <w:rFonts w:ascii="Arial" w:hAnsi="Arial" w:cs="Arial"/>
                <w:sz w:val="18"/>
                <w:szCs w:val="18"/>
                <w:vertAlign w:val="superscript"/>
              </w:rPr>
              <w:t>(2)</w:t>
            </w:r>
          </w:p>
        </w:tc>
        <w:tc>
          <w:tcPr>
            <w:tcW w:w="1276" w:type="dxa"/>
          </w:tcPr>
          <w:p w14:paraId="453529D1" w14:textId="77777777" w:rsidR="00440769" w:rsidRPr="00AB5F36" w:rsidRDefault="00440769" w:rsidP="00016425">
            <w:pPr>
              <w:tabs>
                <w:tab w:val="left" w:pos="8505"/>
              </w:tabs>
              <w:ind w:left="-13" w:right="-108"/>
              <w:rPr>
                <w:rFonts w:ascii="Arial" w:hAnsi="Arial" w:cs="Arial"/>
                <w:b/>
                <w:sz w:val="18"/>
                <w:szCs w:val="18"/>
              </w:rPr>
            </w:pPr>
            <w:r w:rsidRPr="00AB5F36">
              <w:rPr>
                <w:rFonts w:ascii="Arial" w:hAnsi="Arial" w:cs="Arial"/>
                <w:b/>
                <w:sz w:val="18"/>
                <w:szCs w:val="18"/>
              </w:rPr>
              <w:t>Veränderung</w:t>
            </w:r>
          </w:p>
        </w:tc>
      </w:tr>
      <w:tr w:rsidR="00440769" w:rsidRPr="00AB5F36" w14:paraId="1C70D68D" w14:textId="77777777" w:rsidTr="00016425">
        <w:trPr>
          <w:trHeight w:val="284"/>
        </w:trPr>
        <w:tc>
          <w:tcPr>
            <w:tcW w:w="4361" w:type="dxa"/>
            <w:vAlign w:val="center"/>
          </w:tcPr>
          <w:p w14:paraId="32FF1EE1" w14:textId="77777777" w:rsidR="00440769" w:rsidRPr="00AB5F36" w:rsidRDefault="00440769" w:rsidP="00016425">
            <w:pPr>
              <w:tabs>
                <w:tab w:val="left" w:pos="8505"/>
              </w:tabs>
              <w:spacing w:line="276" w:lineRule="auto"/>
              <w:rPr>
                <w:rFonts w:ascii="Arial" w:hAnsi="Arial" w:cs="Arial"/>
                <w:sz w:val="18"/>
                <w:szCs w:val="18"/>
                <w:lang w:val="it-IT"/>
              </w:rPr>
            </w:pPr>
            <w:r w:rsidRPr="00AB5F36">
              <w:rPr>
                <w:rFonts w:ascii="Arial" w:hAnsi="Arial" w:cs="Arial"/>
                <w:sz w:val="18"/>
                <w:szCs w:val="18"/>
              </w:rPr>
              <w:t>Umsatzerlöse [in M</w:t>
            </w:r>
            <w:r w:rsidRPr="00AB5F36">
              <w:rPr>
                <w:rFonts w:ascii="Arial" w:hAnsi="Arial" w:cs="Arial"/>
                <w:sz w:val="18"/>
                <w:szCs w:val="18"/>
                <w:lang w:val="it-IT"/>
              </w:rPr>
              <w:t>io. €]</w:t>
            </w:r>
          </w:p>
        </w:tc>
        <w:tc>
          <w:tcPr>
            <w:tcW w:w="1134" w:type="dxa"/>
            <w:vAlign w:val="center"/>
          </w:tcPr>
          <w:p w14:paraId="00507423" w14:textId="73D4B854" w:rsidR="00440769" w:rsidRPr="00AB5F36" w:rsidRDefault="00440769" w:rsidP="004C1AB9">
            <w:pPr>
              <w:tabs>
                <w:tab w:val="left" w:pos="8505"/>
              </w:tabs>
              <w:jc w:val="right"/>
              <w:rPr>
                <w:rFonts w:ascii="Arial" w:hAnsi="Arial" w:cs="Arial"/>
                <w:sz w:val="18"/>
                <w:szCs w:val="18"/>
              </w:rPr>
            </w:pPr>
            <w:r w:rsidRPr="00AB5F36">
              <w:rPr>
                <w:rFonts w:ascii="Arial" w:hAnsi="Arial" w:cs="Arial"/>
                <w:sz w:val="18"/>
                <w:szCs w:val="18"/>
              </w:rPr>
              <w:t>1.</w:t>
            </w:r>
            <w:r w:rsidR="004C1AB9" w:rsidRPr="00AB5F36">
              <w:rPr>
                <w:rFonts w:ascii="Arial" w:hAnsi="Arial" w:cs="Arial"/>
                <w:sz w:val="18"/>
                <w:szCs w:val="18"/>
              </w:rPr>
              <w:t>327,4</w:t>
            </w:r>
          </w:p>
        </w:tc>
        <w:tc>
          <w:tcPr>
            <w:tcW w:w="1134" w:type="dxa"/>
            <w:vAlign w:val="center"/>
          </w:tcPr>
          <w:p w14:paraId="29840063" w14:textId="33329BC1" w:rsidR="00440769" w:rsidRPr="00AB5F36" w:rsidRDefault="00440769" w:rsidP="004C1AB9">
            <w:pPr>
              <w:tabs>
                <w:tab w:val="left" w:pos="8505"/>
              </w:tabs>
              <w:jc w:val="right"/>
              <w:rPr>
                <w:rFonts w:ascii="Arial" w:hAnsi="Arial" w:cs="Arial"/>
                <w:sz w:val="18"/>
                <w:szCs w:val="18"/>
              </w:rPr>
            </w:pPr>
            <w:r w:rsidRPr="00AB5F36">
              <w:rPr>
                <w:rFonts w:ascii="Arial" w:hAnsi="Arial" w:cs="Arial"/>
                <w:sz w:val="18"/>
                <w:szCs w:val="18"/>
              </w:rPr>
              <w:t>1.</w:t>
            </w:r>
            <w:r w:rsidR="004C1AB9" w:rsidRPr="00AB5F36">
              <w:rPr>
                <w:rFonts w:ascii="Arial" w:hAnsi="Arial" w:cs="Arial"/>
                <w:sz w:val="18"/>
                <w:szCs w:val="18"/>
              </w:rPr>
              <w:t>221,8</w:t>
            </w:r>
          </w:p>
        </w:tc>
        <w:tc>
          <w:tcPr>
            <w:tcW w:w="1276" w:type="dxa"/>
            <w:vAlign w:val="center"/>
          </w:tcPr>
          <w:p w14:paraId="480FAD1C" w14:textId="6995F89F"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8,6</w:t>
            </w:r>
            <w:r w:rsidR="00440769" w:rsidRPr="00AB5F36">
              <w:rPr>
                <w:rFonts w:ascii="Arial" w:hAnsi="Arial" w:cs="Arial"/>
                <w:sz w:val="18"/>
                <w:szCs w:val="18"/>
              </w:rPr>
              <w:t xml:space="preserve"> %</w:t>
            </w:r>
          </w:p>
        </w:tc>
      </w:tr>
      <w:tr w:rsidR="00440769" w:rsidRPr="00AB5F36" w14:paraId="6FFFBBD6" w14:textId="77777777" w:rsidTr="00016425">
        <w:trPr>
          <w:trHeight w:val="284"/>
        </w:trPr>
        <w:tc>
          <w:tcPr>
            <w:tcW w:w="4361" w:type="dxa"/>
            <w:vAlign w:val="center"/>
          </w:tcPr>
          <w:p w14:paraId="2FE3AEB9" w14:textId="77777777" w:rsidR="00440769" w:rsidRPr="00AB5F36" w:rsidRDefault="00440769" w:rsidP="00016425">
            <w:pPr>
              <w:tabs>
                <w:tab w:val="left" w:pos="8505"/>
              </w:tabs>
              <w:spacing w:line="276" w:lineRule="auto"/>
              <w:rPr>
                <w:rFonts w:ascii="Arial" w:hAnsi="Arial" w:cs="Arial"/>
                <w:sz w:val="18"/>
                <w:szCs w:val="18"/>
                <w:lang w:val="it-IT"/>
              </w:rPr>
            </w:pPr>
            <w:r w:rsidRPr="00AB5F36">
              <w:rPr>
                <w:rFonts w:ascii="Arial" w:hAnsi="Arial" w:cs="Arial"/>
                <w:sz w:val="18"/>
                <w:szCs w:val="18"/>
              </w:rPr>
              <w:t xml:space="preserve">Ergebnis vor Zinsen, Steuern und Abschreibungen (EBITDA) [in Mio. </w:t>
            </w:r>
            <w:r w:rsidRPr="00AB5F36">
              <w:rPr>
                <w:rFonts w:ascii="Arial" w:hAnsi="Arial" w:cs="Arial"/>
                <w:sz w:val="18"/>
                <w:szCs w:val="18"/>
                <w:lang w:val="it-IT"/>
              </w:rPr>
              <w:t>€]</w:t>
            </w:r>
          </w:p>
        </w:tc>
        <w:tc>
          <w:tcPr>
            <w:tcW w:w="1134" w:type="dxa"/>
            <w:vAlign w:val="center"/>
          </w:tcPr>
          <w:p w14:paraId="4CB2BE55" w14:textId="70A4A6E4"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10</w:t>
            </w:r>
            <w:r w:rsidR="00440769" w:rsidRPr="00AB5F36">
              <w:rPr>
                <w:rFonts w:ascii="Arial" w:hAnsi="Arial" w:cs="Arial"/>
                <w:sz w:val="18"/>
                <w:szCs w:val="18"/>
              </w:rPr>
              <w:t>0,</w:t>
            </w:r>
            <w:r w:rsidRPr="00AB5F36">
              <w:rPr>
                <w:rFonts w:ascii="Arial" w:hAnsi="Arial" w:cs="Arial"/>
                <w:sz w:val="18"/>
                <w:szCs w:val="18"/>
              </w:rPr>
              <w:t>5</w:t>
            </w:r>
          </w:p>
        </w:tc>
        <w:tc>
          <w:tcPr>
            <w:tcW w:w="1134" w:type="dxa"/>
            <w:vAlign w:val="center"/>
          </w:tcPr>
          <w:p w14:paraId="003C9587" w14:textId="21A3CFC3"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93,1</w:t>
            </w:r>
          </w:p>
        </w:tc>
        <w:tc>
          <w:tcPr>
            <w:tcW w:w="1276" w:type="dxa"/>
            <w:vAlign w:val="center"/>
          </w:tcPr>
          <w:p w14:paraId="2F411CEF" w14:textId="395B9092"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7,9</w:t>
            </w:r>
            <w:r w:rsidR="00440769" w:rsidRPr="00AB5F36">
              <w:rPr>
                <w:rFonts w:ascii="Arial" w:hAnsi="Arial" w:cs="Arial"/>
                <w:sz w:val="18"/>
                <w:szCs w:val="18"/>
              </w:rPr>
              <w:t xml:space="preserve"> %</w:t>
            </w:r>
          </w:p>
        </w:tc>
      </w:tr>
      <w:tr w:rsidR="00440769" w:rsidRPr="00AB5F36" w14:paraId="3A0C3E79" w14:textId="77777777" w:rsidTr="00016425">
        <w:trPr>
          <w:trHeight w:val="284"/>
        </w:trPr>
        <w:tc>
          <w:tcPr>
            <w:tcW w:w="4361" w:type="dxa"/>
            <w:vAlign w:val="center"/>
          </w:tcPr>
          <w:p w14:paraId="40D6061D" w14:textId="77777777" w:rsidR="00440769" w:rsidRPr="00AB5F36" w:rsidRDefault="00440769" w:rsidP="00016425">
            <w:pPr>
              <w:tabs>
                <w:tab w:val="left" w:pos="8505"/>
              </w:tabs>
              <w:spacing w:line="276" w:lineRule="auto"/>
              <w:rPr>
                <w:rFonts w:ascii="Arial" w:hAnsi="Arial" w:cs="Arial"/>
                <w:sz w:val="18"/>
                <w:szCs w:val="18"/>
                <w:lang w:val="it-IT"/>
              </w:rPr>
            </w:pPr>
            <w:r w:rsidRPr="00AB5F36">
              <w:rPr>
                <w:rFonts w:ascii="Arial" w:hAnsi="Arial" w:cs="Arial"/>
                <w:sz w:val="18"/>
                <w:szCs w:val="18"/>
              </w:rPr>
              <w:t xml:space="preserve">Ergebnis vor Zinsen und Steuern (EBIT) [in Mio. </w:t>
            </w:r>
            <w:r w:rsidRPr="00AB5F36">
              <w:rPr>
                <w:rFonts w:ascii="Arial" w:hAnsi="Arial" w:cs="Arial"/>
                <w:sz w:val="18"/>
                <w:szCs w:val="18"/>
                <w:lang w:val="it-IT"/>
              </w:rPr>
              <w:t>€]</w:t>
            </w:r>
          </w:p>
        </w:tc>
        <w:tc>
          <w:tcPr>
            <w:tcW w:w="1134" w:type="dxa"/>
            <w:vAlign w:val="center"/>
          </w:tcPr>
          <w:p w14:paraId="6DB56CA9" w14:textId="1F0A19B9"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63,0</w:t>
            </w:r>
          </w:p>
        </w:tc>
        <w:tc>
          <w:tcPr>
            <w:tcW w:w="1134" w:type="dxa"/>
            <w:vAlign w:val="center"/>
          </w:tcPr>
          <w:p w14:paraId="64167F56" w14:textId="4FD19EF4"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55,9</w:t>
            </w:r>
          </w:p>
        </w:tc>
        <w:tc>
          <w:tcPr>
            <w:tcW w:w="1276" w:type="dxa"/>
            <w:vAlign w:val="center"/>
          </w:tcPr>
          <w:p w14:paraId="4E1FEE78" w14:textId="31E58DE9"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12,7</w:t>
            </w:r>
            <w:r w:rsidR="00440769" w:rsidRPr="00AB5F36">
              <w:rPr>
                <w:rFonts w:ascii="Arial" w:hAnsi="Arial" w:cs="Arial"/>
                <w:sz w:val="18"/>
                <w:szCs w:val="18"/>
              </w:rPr>
              <w:t xml:space="preserve"> %</w:t>
            </w:r>
          </w:p>
        </w:tc>
      </w:tr>
      <w:tr w:rsidR="00440769" w:rsidRPr="00AB5F36" w14:paraId="2CEC9040" w14:textId="77777777" w:rsidTr="00016425">
        <w:trPr>
          <w:trHeight w:val="284"/>
        </w:trPr>
        <w:tc>
          <w:tcPr>
            <w:tcW w:w="4361" w:type="dxa"/>
            <w:vAlign w:val="center"/>
          </w:tcPr>
          <w:p w14:paraId="02C56960" w14:textId="77777777" w:rsidR="00440769" w:rsidRPr="00AB5F36" w:rsidRDefault="00440769" w:rsidP="00016425">
            <w:pPr>
              <w:tabs>
                <w:tab w:val="left" w:pos="8505"/>
              </w:tabs>
              <w:spacing w:line="276" w:lineRule="auto"/>
              <w:rPr>
                <w:rFonts w:ascii="Arial" w:hAnsi="Arial" w:cs="Arial"/>
                <w:sz w:val="18"/>
                <w:szCs w:val="18"/>
              </w:rPr>
            </w:pPr>
            <w:r w:rsidRPr="00AB5F36">
              <w:rPr>
                <w:rFonts w:ascii="Arial" w:hAnsi="Arial" w:cs="Arial"/>
                <w:sz w:val="18"/>
                <w:szCs w:val="18"/>
              </w:rPr>
              <w:t xml:space="preserve">Bereinigtes EBIT </w:t>
            </w:r>
            <w:r w:rsidRPr="00AB5F36">
              <w:rPr>
                <w:rFonts w:ascii="Arial" w:hAnsi="Arial" w:cs="Arial"/>
                <w:sz w:val="18"/>
                <w:szCs w:val="18"/>
                <w:vertAlign w:val="superscript"/>
              </w:rPr>
              <w:t>(1)</w:t>
            </w:r>
            <w:r w:rsidRPr="00AB5F36">
              <w:rPr>
                <w:rFonts w:ascii="Arial" w:hAnsi="Arial" w:cs="Arial"/>
                <w:sz w:val="18"/>
                <w:szCs w:val="18"/>
              </w:rPr>
              <w:t xml:space="preserve"> [in Mio. </w:t>
            </w:r>
            <w:r w:rsidRPr="00AB5F36">
              <w:rPr>
                <w:rFonts w:ascii="Arial" w:hAnsi="Arial" w:cs="Arial"/>
                <w:sz w:val="18"/>
                <w:szCs w:val="18"/>
                <w:lang w:val="it-IT"/>
              </w:rPr>
              <w:t>€]</w:t>
            </w:r>
          </w:p>
        </w:tc>
        <w:tc>
          <w:tcPr>
            <w:tcW w:w="1134" w:type="dxa"/>
            <w:vAlign w:val="center"/>
          </w:tcPr>
          <w:p w14:paraId="6A682AF0" w14:textId="699EFADC"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64,5</w:t>
            </w:r>
          </w:p>
        </w:tc>
        <w:tc>
          <w:tcPr>
            <w:tcW w:w="1134" w:type="dxa"/>
            <w:vAlign w:val="center"/>
          </w:tcPr>
          <w:p w14:paraId="394439B1" w14:textId="3870E730"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54,7</w:t>
            </w:r>
          </w:p>
        </w:tc>
        <w:tc>
          <w:tcPr>
            <w:tcW w:w="1276" w:type="dxa"/>
            <w:vAlign w:val="center"/>
          </w:tcPr>
          <w:p w14:paraId="0966197D" w14:textId="7BFB3BC3"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17,9</w:t>
            </w:r>
            <w:r w:rsidR="00440769" w:rsidRPr="00AB5F36">
              <w:rPr>
                <w:rFonts w:ascii="Arial" w:hAnsi="Arial" w:cs="Arial"/>
                <w:sz w:val="18"/>
                <w:szCs w:val="18"/>
              </w:rPr>
              <w:t xml:space="preserve"> %</w:t>
            </w:r>
          </w:p>
        </w:tc>
      </w:tr>
      <w:tr w:rsidR="00440769" w:rsidRPr="00AB5F36" w14:paraId="165FE1B9" w14:textId="77777777" w:rsidTr="00016425">
        <w:trPr>
          <w:trHeight w:val="284"/>
        </w:trPr>
        <w:tc>
          <w:tcPr>
            <w:tcW w:w="4361" w:type="dxa"/>
            <w:vAlign w:val="center"/>
          </w:tcPr>
          <w:p w14:paraId="0A66B7CD" w14:textId="2DE5255C" w:rsidR="00440769" w:rsidRPr="00AB5F36" w:rsidRDefault="004C1AB9" w:rsidP="00016425">
            <w:pPr>
              <w:tabs>
                <w:tab w:val="left" w:pos="8505"/>
              </w:tabs>
              <w:spacing w:line="276" w:lineRule="auto"/>
              <w:rPr>
                <w:rFonts w:ascii="Arial" w:hAnsi="Arial" w:cs="Arial"/>
                <w:sz w:val="18"/>
                <w:szCs w:val="18"/>
              </w:rPr>
            </w:pPr>
            <w:r w:rsidRPr="00AB5F36">
              <w:rPr>
                <w:rFonts w:ascii="Arial" w:hAnsi="Arial" w:cs="Arial"/>
                <w:sz w:val="18"/>
                <w:szCs w:val="18"/>
              </w:rPr>
              <w:t>Konzernüberschuss [M</w:t>
            </w:r>
            <w:r w:rsidRPr="00AB5F36">
              <w:rPr>
                <w:rFonts w:ascii="Arial" w:hAnsi="Arial" w:cs="Arial"/>
                <w:sz w:val="18"/>
                <w:szCs w:val="18"/>
                <w:lang w:val="it-IT"/>
              </w:rPr>
              <w:t>io. €]</w:t>
            </w:r>
          </w:p>
        </w:tc>
        <w:tc>
          <w:tcPr>
            <w:tcW w:w="1134" w:type="dxa"/>
            <w:vAlign w:val="center"/>
          </w:tcPr>
          <w:p w14:paraId="21A5F111" w14:textId="741A90D9" w:rsidR="00440769" w:rsidRPr="00AB5F36" w:rsidRDefault="00440769" w:rsidP="004C1AB9">
            <w:pPr>
              <w:tabs>
                <w:tab w:val="left" w:pos="8505"/>
              </w:tabs>
              <w:jc w:val="right"/>
              <w:rPr>
                <w:rFonts w:ascii="Arial" w:hAnsi="Arial" w:cs="Arial"/>
                <w:sz w:val="18"/>
                <w:szCs w:val="18"/>
              </w:rPr>
            </w:pPr>
            <w:r w:rsidRPr="00AB5F36">
              <w:rPr>
                <w:rFonts w:ascii="Arial" w:hAnsi="Arial" w:cs="Arial"/>
                <w:sz w:val="18"/>
                <w:szCs w:val="18"/>
              </w:rPr>
              <w:t>4</w:t>
            </w:r>
            <w:r w:rsidR="004C1AB9" w:rsidRPr="00AB5F36">
              <w:rPr>
                <w:rFonts w:ascii="Arial" w:hAnsi="Arial" w:cs="Arial"/>
                <w:sz w:val="18"/>
                <w:szCs w:val="18"/>
              </w:rPr>
              <w:t>3,6</w:t>
            </w:r>
          </w:p>
        </w:tc>
        <w:tc>
          <w:tcPr>
            <w:tcW w:w="1134" w:type="dxa"/>
            <w:vAlign w:val="center"/>
          </w:tcPr>
          <w:p w14:paraId="761DD87D" w14:textId="4B80CF56"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36,6</w:t>
            </w:r>
          </w:p>
        </w:tc>
        <w:tc>
          <w:tcPr>
            <w:tcW w:w="1276" w:type="dxa"/>
            <w:vAlign w:val="center"/>
          </w:tcPr>
          <w:p w14:paraId="72071FE7" w14:textId="4CD424F3"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19,1</w:t>
            </w:r>
            <w:r w:rsidR="00440769" w:rsidRPr="00AB5F36">
              <w:rPr>
                <w:rFonts w:ascii="Arial" w:hAnsi="Arial" w:cs="Arial"/>
                <w:sz w:val="18"/>
                <w:szCs w:val="18"/>
              </w:rPr>
              <w:t xml:space="preserve"> %</w:t>
            </w:r>
          </w:p>
        </w:tc>
      </w:tr>
      <w:tr w:rsidR="00440769" w:rsidRPr="00AB5F36" w14:paraId="05E3E51C" w14:textId="77777777" w:rsidTr="00016425">
        <w:trPr>
          <w:trHeight w:val="284"/>
        </w:trPr>
        <w:tc>
          <w:tcPr>
            <w:tcW w:w="4361" w:type="dxa"/>
            <w:vAlign w:val="center"/>
          </w:tcPr>
          <w:p w14:paraId="776332F9" w14:textId="265E7075" w:rsidR="00440769" w:rsidRPr="00AB5F36" w:rsidRDefault="004C1AB9" w:rsidP="00016425">
            <w:pPr>
              <w:tabs>
                <w:tab w:val="left" w:pos="8505"/>
              </w:tabs>
              <w:spacing w:line="276" w:lineRule="auto"/>
              <w:rPr>
                <w:rFonts w:ascii="Arial" w:hAnsi="Arial" w:cs="Arial"/>
                <w:sz w:val="18"/>
                <w:szCs w:val="18"/>
              </w:rPr>
            </w:pPr>
            <w:r w:rsidRPr="00AB5F36">
              <w:rPr>
                <w:rFonts w:ascii="Arial" w:hAnsi="Arial" w:cs="Arial"/>
                <w:sz w:val="18"/>
                <w:szCs w:val="18"/>
              </w:rPr>
              <w:t>Ergebnis je Aktie [in €]</w:t>
            </w:r>
          </w:p>
        </w:tc>
        <w:tc>
          <w:tcPr>
            <w:tcW w:w="1134" w:type="dxa"/>
            <w:vAlign w:val="center"/>
          </w:tcPr>
          <w:p w14:paraId="33A76036" w14:textId="506CBB76"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1,34</w:t>
            </w:r>
          </w:p>
        </w:tc>
        <w:tc>
          <w:tcPr>
            <w:tcW w:w="1134" w:type="dxa"/>
            <w:vAlign w:val="center"/>
          </w:tcPr>
          <w:p w14:paraId="3722C4DE" w14:textId="1DB570E5"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1,</w:t>
            </w:r>
            <w:r w:rsidR="00440769" w:rsidRPr="00AB5F36">
              <w:rPr>
                <w:rFonts w:ascii="Arial" w:hAnsi="Arial" w:cs="Arial"/>
                <w:sz w:val="18"/>
                <w:szCs w:val="18"/>
              </w:rPr>
              <w:t>11</w:t>
            </w:r>
          </w:p>
        </w:tc>
        <w:tc>
          <w:tcPr>
            <w:tcW w:w="1276" w:type="dxa"/>
            <w:vAlign w:val="center"/>
          </w:tcPr>
          <w:p w14:paraId="4BE75CE7" w14:textId="2722B548"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20,7</w:t>
            </w:r>
            <w:r w:rsidR="00440769" w:rsidRPr="00AB5F36">
              <w:rPr>
                <w:rFonts w:ascii="Arial" w:hAnsi="Arial" w:cs="Arial"/>
                <w:sz w:val="18"/>
                <w:szCs w:val="18"/>
              </w:rPr>
              <w:t xml:space="preserve"> %</w:t>
            </w:r>
          </w:p>
        </w:tc>
      </w:tr>
      <w:tr w:rsidR="00440769" w:rsidRPr="00AB5F36" w14:paraId="53A4FBEC" w14:textId="77777777" w:rsidTr="00016425">
        <w:trPr>
          <w:trHeight w:val="284"/>
        </w:trPr>
        <w:tc>
          <w:tcPr>
            <w:tcW w:w="4361" w:type="dxa"/>
            <w:vAlign w:val="center"/>
          </w:tcPr>
          <w:p w14:paraId="12D918D3" w14:textId="389F57D7" w:rsidR="00440769" w:rsidRPr="00AB5F36" w:rsidRDefault="004C1AB9" w:rsidP="004C1AB9">
            <w:pPr>
              <w:tabs>
                <w:tab w:val="left" w:pos="8505"/>
              </w:tabs>
              <w:spacing w:line="276" w:lineRule="auto"/>
              <w:rPr>
                <w:rFonts w:ascii="Arial" w:hAnsi="Arial" w:cs="Arial"/>
                <w:sz w:val="18"/>
                <w:szCs w:val="18"/>
              </w:rPr>
            </w:pPr>
            <w:r w:rsidRPr="00AB5F36">
              <w:rPr>
                <w:rFonts w:ascii="Arial" w:hAnsi="Arial" w:cs="Arial"/>
                <w:sz w:val="18"/>
                <w:szCs w:val="18"/>
              </w:rPr>
              <w:t>Free Cashflow</w:t>
            </w:r>
            <w:r w:rsidR="00440769" w:rsidRPr="00AB5F36">
              <w:rPr>
                <w:rFonts w:ascii="Arial" w:hAnsi="Arial" w:cs="Arial"/>
                <w:sz w:val="18"/>
                <w:szCs w:val="18"/>
              </w:rPr>
              <w:t xml:space="preserve"> [in M</w:t>
            </w:r>
            <w:r w:rsidR="00440769" w:rsidRPr="00AB5F36">
              <w:rPr>
                <w:rFonts w:ascii="Arial" w:hAnsi="Arial" w:cs="Arial"/>
                <w:sz w:val="18"/>
                <w:szCs w:val="18"/>
                <w:lang w:val="it-IT"/>
              </w:rPr>
              <w:t>io. €]</w:t>
            </w:r>
          </w:p>
        </w:tc>
        <w:tc>
          <w:tcPr>
            <w:tcW w:w="1134" w:type="dxa"/>
            <w:vAlign w:val="center"/>
          </w:tcPr>
          <w:p w14:paraId="2D9A0C3A" w14:textId="77DE1FAD"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-111,0</w:t>
            </w:r>
          </w:p>
        </w:tc>
        <w:tc>
          <w:tcPr>
            <w:tcW w:w="1134" w:type="dxa"/>
            <w:vAlign w:val="center"/>
          </w:tcPr>
          <w:p w14:paraId="09D3E20B" w14:textId="330A58BD"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-71,0</w:t>
            </w:r>
          </w:p>
        </w:tc>
        <w:tc>
          <w:tcPr>
            <w:tcW w:w="1276" w:type="dxa"/>
            <w:vAlign w:val="center"/>
          </w:tcPr>
          <w:p w14:paraId="209372BA" w14:textId="0385DA71"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-56,3</w:t>
            </w:r>
            <w:r w:rsidR="00440769" w:rsidRPr="00AB5F36">
              <w:rPr>
                <w:rFonts w:ascii="Arial" w:hAnsi="Arial" w:cs="Arial"/>
                <w:sz w:val="18"/>
                <w:szCs w:val="18"/>
              </w:rPr>
              <w:t xml:space="preserve"> %</w:t>
            </w:r>
          </w:p>
        </w:tc>
      </w:tr>
      <w:tr w:rsidR="004C1AB9" w:rsidRPr="00AB5F36" w14:paraId="1FA5F14D" w14:textId="77777777" w:rsidTr="00016425">
        <w:trPr>
          <w:trHeight w:val="284"/>
        </w:trPr>
        <w:tc>
          <w:tcPr>
            <w:tcW w:w="4361" w:type="dxa"/>
            <w:vAlign w:val="center"/>
          </w:tcPr>
          <w:p w14:paraId="7B6168F8" w14:textId="5302AB89" w:rsidR="004C1AB9" w:rsidRPr="00AB5F36" w:rsidRDefault="004C1AB9" w:rsidP="004C1AB9">
            <w:pPr>
              <w:tabs>
                <w:tab w:val="left" w:pos="8505"/>
              </w:tabs>
              <w:spacing w:line="276" w:lineRule="auto"/>
              <w:rPr>
                <w:rFonts w:ascii="Arial" w:hAnsi="Arial" w:cs="Arial"/>
                <w:sz w:val="18"/>
                <w:szCs w:val="18"/>
              </w:rPr>
            </w:pPr>
            <w:r w:rsidRPr="00AB5F36">
              <w:rPr>
                <w:rFonts w:ascii="Arial" w:hAnsi="Arial" w:cs="Arial"/>
                <w:sz w:val="18"/>
                <w:szCs w:val="18"/>
              </w:rPr>
              <w:t>Investitionen [in M</w:t>
            </w:r>
            <w:r w:rsidRPr="00AB5F36">
              <w:rPr>
                <w:rFonts w:ascii="Arial" w:hAnsi="Arial" w:cs="Arial"/>
                <w:sz w:val="18"/>
                <w:szCs w:val="18"/>
                <w:lang w:val="it-IT"/>
              </w:rPr>
              <w:t>io. €]</w:t>
            </w:r>
          </w:p>
        </w:tc>
        <w:tc>
          <w:tcPr>
            <w:tcW w:w="1134" w:type="dxa"/>
            <w:vAlign w:val="center"/>
          </w:tcPr>
          <w:p w14:paraId="6304E2EF" w14:textId="415D1180" w:rsidR="004C1AB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56,9</w:t>
            </w:r>
          </w:p>
        </w:tc>
        <w:tc>
          <w:tcPr>
            <w:tcW w:w="1134" w:type="dxa"/>
            <w:vAlign w:val="center"/>
          </w:tcPr>
          <w:p w14:paraId="4D82D9F1" w14:textId="4366F7BA" w:rsidR="004C1AB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46,5</w:t>
            </w:r>
          </w:p>
        </w:tc>
        <w:tc>
          <w:tcPr>
            <w:tcW w:w="1276" w:type="dxa"/>
            <w:vAlign w:val="center"/>
          </w:tcPr>
          <w:p w14:paraId="2FEFDAB4" w14:textId="6DA2DA07" w:rsidR="004C1AB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22,4</w:t>
            </w:r>
          </w:p>
        </w:tc>
      </w:tr>
      <w:tr w:rsidR="004C1AB9" w:rsidRPr="00AB5F36" w14:paraId="64BE9B83" w14:textId="77777777" w:rsidTr="00016425">
        <w:trPr>
          <w:trHeight w:val="284"/>
        </w:trPr>
        <w:tc>
          <w:tcPr>
            <w:tcW w:w="4361" w:type="dxa"/>
            <w:vAlign w:val="center"/>
          </w:tcPr>
          <w:p w14:paraId="3C26DC82" w14:textId="53F15AAE" w:rsidR="004C1AB9" w:rsidRPr="00AB5F36" w:rsidRDefault="004C1AB9" w:rsidP="004C1AB9">
            <w:pPr>
              <w:tabs>
                <w:tab w:val="left" w:pos="8505"/>
              </w:tabs>
              <w:spacing w:line="276" w:lineRule="auto"/>
              <w:rPr>
                <w:rFonts w:ascii="Arial" w:hAnsi="Arial" w:cs="Arial"/>
                <w:sz w:val="18"/>
                <w:szCs w:val="18"/>
              </w:rPr>
            </w:pPr>
            <w:r w:rsidRPr="00AB5F36">
              <w:rPr>
                <w:rFonts w:ascii="Arial" w:hAnsi="Arial" w:cs="Arial"/>
                <w:sz w:val="18"/>
                <w:szCs w:val="18"/>
              </w:rPr>
              <w:t>Eigenkapitalquote [in %]</w:t>
            </w:r>
          </w:p>
        </w:tc>
        <w:tc>
          <w:tcPr>
            <w:tcW w:w="1134" w:type="dxa"/>
            <w:vAlign w:val="center"/>
          </w:tcPr>
          <w:p w14:paraId="39E63048" w14:textId="2D71B225" w:rsidR="004C1AB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32,8</w:t>
            </w:r>
          </w:p>
        </w:tc>
        <w:tc>
          <w:tcPr>
            <w:tcW w:w="1134" w:type="dxa"/>
            <w:vAlign w:val="center"/>
          </w:tcPr>
          <w:p w14:paraId="4ED717D1" w14:textId="35455CA1" w:rsidR="004C1AB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31,3</w:t>
            </w:r>
          </w:p>
        </w:tc>
        <w:tc>
          <w:tcPr>
            <w:tcW w:w="1276" w:type="dxa"/>
            <w:vAlign w:val="center"/>
          </w:tcPr>
          <w:p w14:paraId="2CB988B7" w14:textId="00889C5A" w:rsidR="004C1AB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w:t>
            </w:r>
          </w:p>
        </w:tc>
      </w:tr>
      <w:tr w:rsidR="00440769" w:rsidRPr="00AB5F36" w14:paraId="57ECC92F" w14:textId="77777777" w:rsidTr="00016425">
        <w:trPr>
          <w:trHeight w:val="284"/>
        </w:trPr>
        <w:tc>
          <w:tcPr>
            <w:tcW w:w="4361" w:type="dxa"/>
            <w:vAlign w:val="center"/>
          </w:tcPr>
          <w:p w14:paraId="7F60D1EB" w14:textId="77777777" w:rsidR="00440769" w:rsidRPr="00AB5F36" w:rsidRDefault="00440769" w:rsidP="00016425">
            <w:pPr>
              <w:tabs>
                <w:tab w:val="left" w:pos="8505"/>
              </w:tabs>
              <w:spacing w:line="276" w:lineRule="auto"/>
              <w:rPr>
                <w:rFonts w:ascii="Arial" w:hAnsi="Arial" w:cs="Arial"/>
                <w:sz w:val="18"/>
                <w:szCs w:val="18"/>
              </w:rPr>
            </w:pPr>
            <w:r w:rsidRPr="00AB5F36">
              <w:rPr>
                <w:rFonts w:ascii="Arial" w:hAnsi="Arial" w:cs="Arial"/>
                <w:sz w:val="18"/>
                <w:szCs w:val="18"/>
              </w:rPr>
              <w:t>Mitarbeiter per 31.3. [Anzahl]</w:t>
            </w:r>
          </w:p>
        </w:tc>
        <w:tc>
          <w:tcPr>
            <w:tcW w:w="1134" w:type="dxa"/>
            <w:vAlign w:val="center"/>
          </w:tcPr>
          <w:p w14:paraId="406222B3" w14:textId="491CE568" w:rsidR="00440769" w:rsidRPr="00AB5F36" w:rsidRDefault="00440769" w:rsidP="004C1AB9">
            <w:pPr>
              <w:tabs>
                <w:tab w:val="left" w:pos="8505"/>
              </w:tabs>
              <w:jc w:val="right"/>
              <w:rPr>
                <w:rFonts w:ascii="Arial" w:hAnsi="Arial" w:cs="Arial"/>
                <w:sz w:val="18"/>
                <w:szCs w:val="18"/>
              </w:rPr>
            </w:pPr>
            <w:r w:rsidRPr="00AB5F36">
              <w:rPr>
                <w:rFonts w:ascii="Arial" w:hAnsi="Arial" w:cs="Arial"/>
                <w:sz w:val="18"/>
                <w:szCs w:val="18"/>
              </w:rPr>
              <w:t>8</w:t>
            </w:r>
            <w:r w:rsidR="004C1AB9" w:rsidRPr="00AB5F36">
              <w:rPr>
                <w:rFonts w:ascii="Arial" w:hAnsi="Arial" w:cs="Arial"/>
                <w:sz w:val="18"/>
                <w:szCs w:val="18"/>
              </w:rPr>
              <w:t>7</w:t>
            </w:r>
            <w:r w:rsidRPr="00AB5F36">
              <w:rPr>
                <w:rFonts w:ascii="Arial" w:hAnsi="Arial" w:cs="Arial"/>
                <w:sz w:val="18"/>
                <w:szCs w:val="18"/>
              </w:rPr>
              <w:t>.</w:t>
            </w:r>
            <w:r w:rsidR="004C1AB9" w:rsidRPr="00AB5F36">
              <w:rPr>
                <w:rFonts w:ascii="Arial" w:hAnsi="Arial" w:cs="Arial"/>
                <w:sz w:val="18"/>
                <w:szCs w:val="18"/>
              </w:rPr>
              <w:t>128</w:t>
            </w:r>
          </w:p>
        </w:tc>
        <w:tc>
          <w:tcPr>
            <w:tcW w:w="1134" w:type="dxa"/>
            <w:vAlign w:val="center"/>
          </w:tcPr>
          <w:p w14:paraId="0FDA1076" w14:textId="4D4D7854"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82.010</w:t>
            </w:r>
          </w:p>
        </w:tc>
        <w:tc>
          <w:tcPr>
            <w:tcW w:w="1276" w:type="dxa"/>
            <w:vAlign w:val="center"/>
          </w:tcPr>
          <w:p w14:paraId="3BB633C4" w14:textId="63F89407" w:rsidR="00440769" w:rsidRPr="00AB5F36" w:rsidRDefault="004C1AB9" w:rsidP="004C1AB9">
            <w:pPr>
              <w:tabs>
                <w:tab w:val="left" w:pos="8505"/>
              </w:tabs>
              <w:jc w:val="right"/>
              <w:rPr>
                <w:rFonts w:ascii="Arial" w:hAnsi="Arial" w:cs="Arial"/>
                <w:sz w:val="18"/>
                <w:szCs w:val="18"/>
              </w:rPr>
            </w:pPr>
            <w:r w:rsidRPr="00AB5F36">
              <w:rPr>
                <w:rFonts w:ascii="Arial" w:hAnsi="Arial" w:cs="Arial"/>
                <w:sz w:val="18"/>
                <w:szCs w:val="18"/>
              </w:rPr>
              <w:t>6,2</w:t>
            </w:r>
            <w:r w:rsidR="00440769" w:rsidRPr="00AB5F36">
              <w:rPr>
                <w:rFonts w:ascii="Arial" w:hAnsi="Arial" w:cs="Arial"/>
                <w:sz w:val="18"/>
                <w:szCs w:val="18"/>
              </w:rPr>
              <w:t xml:space="preserve"> %</w:t>
            </w:r>
          </w:p>
        </w:tc>
      </w:tr>
    </w:tbl>
    <w:p w14:paraId="31EEE7E4" w14:textId="77777777" w:rsidR="00440769" w:rsidRPr="00AB5F36" w:rsidRDefault="00440769" w:rsidP="00440769">
      <w:pPr>
        <w:autoSpaceDE w:val="0"/>
        <w:autoSpaceDN w:val="0"/>
        <w:adjustRightInd w:val="0"/>
        <w:ind w:left="360" w:right="1854"/>
        <w:rPr>
          <w:rFonts w:ascii="Arial" w:hAnsi="Arial" w:cs="Arial"/>
          <w:i/>
          <w:sz w:val="16"/>
          <w:szCs w:val="16"/>
        </w:rPr>
      </w:pPr>
    </w:p>
    <w:p w14:paraId="3542EB2C" w14:textId="77777777" w:rsidR="00440769" w:rsidRPr="00AB5F36" w:rsidRDefault="00440769" w:rsidP="00440769">
      <w:pPr>
        <w:pStyle w:val="Listenabsatz"/>
        <w:numPr>
          <w:ilvl w:val="0"/>
          <w:numId w:val="3"/>
        </w:numPr>
        <w:autoSpaceDE w:val="0"/>
        <w:autoSpaceDN w:val="0"/>
        <w:adjustRightInd w:val="0"/>
        <w:ind w:right="1711"/>
        <w:rPr>
          <w:rFonts w:ascii="Arial" w:hAnsi="Arial" w:cs="Arial"/>
          <w:i/>
          <w:sz w:val="16"/>
          <w:szCs w:val="16"/>
        </w:rPr>
      </w:pPr>
      <w:r w:rsidRPr="00AB5F36">
        <w:rPr>
          <w:rFonts w:ascii="Arial" w:hAnsi="Arial" w:cs="Arial"/>
          <w:i/>
          <w:sz w:val="16"/>
          <w:szCs w:val="16"/>
        </w:rPr>
        <w:t>Ergebnis bereinigt um die Effekte aus der Neubewertung im Rahmen der Kaufpreisverteilung der wesentlichen Akquisitionen, Restrukturierungen, Gewinne aus Unternehmensverkäufen, Ergebnisse aus Unternehmenszusammenschlüssen inklusive zugehöriger Derivate und Versicherungsentschädigung</w:t>
      </w:r>
    </w:p>
    <w:p w14:paraId="3387A45C" w14:textId="3AF864A8" w:rsidR="00440769" w:rsidRPr="00AB5F36" w:rsidRDefault="004C1AB9" w:rsidP="004C1AB9">
      <w:pPr>
        <w:pStyle w:val="Listenabsatz"/>
        <w:numPr>
          <w:ilvl w:val="0"/>
          <w:numId w:val="3"/>
        </w:numPr>
        <w:autoSpaceDE w:val="0"/>
        <w:autoSpaceDN w:val="0"/>
        <w:adjustRightInd w:val="0"/>
        <w:ind w:right="1711"/>
        <w:rPr>
          <w:rFonts w:ascii="Arial" w:hAnsi="Arial" w:cs="Arial"/>
          <w:i/>
          <w:sz w:val="16"/>
          <w:szCs w:val="16"/>
        </w:rPr>
      </w:pPr>
      <w:r w:rsidRPr="00AB5F36">
        <w:rPr>
          <w:rFonts w:ascii="Arial" w:hAnsi="Arial" w:cs="Arial"/>
          <w:i/>
          <w:sz w:val="16"/>
          <w:szCs w:val="16"/>
        </w:rPr>
        <w:t>Vorjahreswerte angepasst (mit Ausnahme von Investitionen und Mitarbeiteranzahl)</w:t>
      </w:r>
    </w:p>
    <w:p w14:paraId="0FF8D401" w14:textId="7A9EE3E5" w:rsidR="00410B1E" w:rsidRPr="006D36F9" w:rsidRDefault="00410B1E" w:rsidP="00410B1E">
      <w:pPr>
        <w:pStyle w:val="MMKurzprofilberschrift"/>
      </w:pPr>
      <w:r w:rsidRPr="006D36F9">
        <w:t>Über die Leoni-Gruppe</w:t>
      </w:r>
    </w:p>
    <w:p w14:paraId="57E9F49E" w14:textId="6F3594AF" w:rsidR="00410B1E" w:rsidRPr="00834D7F" w:rsidRDefault="00410B1E" w:rsidP="00410B1E">
      <w:pPr>
        <w:pStyle w:val="MMKurzprofil"/>
      </w:pPr>
      <w:r w:rsidRPr="0011372F">
        <w:t>Leoni ist 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 Die</w:t>
      </w:r>
      <w:r w:rsidRPr="007F365C">
        <w:t xml:space="preserve"> im deutschen MDAX börsennotierte Unternehmensgruppe beschäftigt </w:t>
      </w:r>
      <w:r w:rsidR="00B06867">
        <w:t>rund</w:t>
      </w:r>
      <w:r>
        <w:t xml:space="preserve"> 8</w:t>
      </w:r>
      <w:r w:rsidR="00B06867">
        <w:t>7</w:t>
      </w:r>
      <w:r>
        <w:t>.000 Mitarbeiter in 31 Ländern und erzielte 2017 einen Konzernumsatz von 4,9 Mrd. Euro</w:t>
      </w:r>
      <w:r w:rsidRPr="007F365C">
        <w:t>.</w:t>
      </w:r>
      <w:r w:rsidRPr="00834D7F">
        <w:t xml:space="preserve"> </w:t>
      </w:r>
    </w:p>
    <w:p w14:paraId="455A36F7" w14:textId="77777777" w:rsidR="00410B1E" w:rsidRPr="00834D7F" w:rsidRDefault="00410B1E" w:rsidP="00410B1E">
      <w:pPr>
        <w:pStyle w:val="MMKurzprofil"/>
        <w:rPr>
          <w:sz w:val="8"/>
          <w:szCs w:val="8"/>
        </w:rPr>
      </w:pPr>
    </w:p>
    <w:p w14:paraId="30FB708E" w14:textId="77777777" w:rsidR="00410B1E" w:rsidRPr="00320044" w:rsidRDefault="00410B1E" w:rsidP="00410B1E">
      <w:pPr>
        <w:pStyle w:val="MMKurzprofil"/>
        <w:rPr>
          <w:noProof/>
        </w:rPr>
      </w:pPr>
      <w:r>
        <w:rPr>
          <w:noProof/>
        </w:rPr>
        <w:drawing>
          <wp:inline distT="0" distB="0" distL="0" distR="0" wp14:anchorId="26B862CD" wp14:editId="0AB312B1">
            <wp:extent cx="180975" cy="180975"/>
            <wp:effectExtent l="0" t="0" r="9525" b="9525"/>
            <wp:docPr id="7" name="Grafik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34D7F">
        <w:rPr>
          <w:noProof/>
        </w:rPr>
        <w:t xml:space="preserve"> </w:t>
      </w:r>
      <w:r>
        <w:rPr>
          <w:noProof/>
        </w:rPr>
        <w:drawing>
          <wp:inline distT="0" distB="0" distL="0" distR="0" wp14:anchorId="12E0B6F8" wp14:editId="51D7F114">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834D7F">
        <w:rPr>
          <w:noProof/>
        </w:rPr>
        <w:t xml:space="preserve"> </w:t>
      </w:r>
      <w:r w:rsidRPr="00863E00">
        <w:rPr>
          <w:noProof/>
        </w:rPr>
        <w:drawing>
          <wp:inline distT="0" distB="0" distL="0" distR="0" wp14:anchorId="644873D1" wp14:editId="4A8FF3D0">
            <wp:extent cx="177800" cy="177800"/>
            <wp:effectExtent l="0" t="0" r="0" b="0"/>
            <wp:docPr id="6"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919D4B9" w14:textId="77777777" w:rsidR="00410B1E" w:rsidRPr="006E4BF8" w:rsidRDefault="00410B1E" w:rsidP="00410B1E">
      <w:pPr>
        <w:pStyle w:val="MMKurzprofilberschrift"/>
        <w:tabs>
          <w:tab w:val="left" w:pos="3544"/>
        </w:tabs>
        <w:ind w:right="1427"/>
      </w:pPr>
      <w:r w:rsidRPr="006D36F9">
        <w:t>Ansprechpartner für Journalisten</w:t>
      </w:r>
      <w:r>
        <w:tab/>
        <w:t>Ansprechpartner für Analysten und Investoren</w:t>
      </w:r>
    </w:p>
    <w:p w14:paraId="2F028E95" w14:textId="77777777" w:rsidR="00410B1E" w:rsidRPr="0014292D" w:rsidRDefault="00410B1E" w:rsidP="00410B1E">
      <w:pPr>
        <w:pStyle w:val="MMKurzprofil"/>
        <w:tabs>
          <w:tab w:val="clear" w:pos="8505"/>
          <w:tab w:val="left" w:pos="3544"/>
        </w:tabs>
      </w:pPr>
      <w:r w:rsidRPr="0014292D">
        <w:t xml:space="preserve">Sven Schmidt </w:t>
      </w:r>
      <w:r w:rsidRPr="0014292D">
        <w:tab/>
        <w:t xml:space="preserve">Frank Steinhart / Jens von Seckendorff </w:t>
      </w:r>
    </w:p>
    <w:p w14:paraId="1024A7A6" w14:textId="77777777" w:rsidR="00410B1E" w:rsidRPr="008333AF" w:rsidRDefault="00410B1E" w:rsidP="00410B1E">
      <w:pPr>
        <w:pStyle w:val="MMKurzprofil"/>
        <w:tabs>
          <w:tab w:val="clear" w:pos="8505"/>
          <w:tab w:val="left" w:pos="3544"/>
        </w:tabs>
        <w:rPr>
          <w:lang w:val="en-US"/>
        </w:rPr>
      </w:pPr>
      <w:r w:rsidRPr="008333AF">
        <w:rPr>
          <w:lang w:val="en-US"/>
        </w:rPr>
        <w:t xml:space="preserve">Corporate </w:t>
      </w:r>
      <w:r>
        <w:rPr>
          <w:lang w:val="en-US"/>
        </w:rPr>
        <w:t>Public &amp; Media Relations</w:t>
      </w:r>
      <w:r w:rsidRPr="008333AF">
        <w:rPr>
          <w:lang w:val="en-US"/>
        </w:rPr>
        <w:tab/>
        <w:t>Corporate Investor Relations</w:t>
      </w:r>
    </w:p>
    <w:p w14:paraId="694043A6" w14:textId="77777777" w:rsidR="00410B1E" w:rsidRPr="003C6E7D" w:rsidRDefault="00410B1E" w:rsidP="00410B1E">
      <w:pPr>
        <w:pStyle w:val="MMKurzprofil"/>
        <w:tabs>
          <w:tab w:val="clear" w:pos="8505"/>
          <w:tab w:val="left" w:pos="851"/>
          <w:tab w:val="left" w:pos="3544"/>
        </w:tabs>
      </w:pPr>
      <w:r w:rsidRPr="003C6E7D">
        <w:t>Telefon</w:t>
      </w:r>
      <w:r w:rsidRPr="003C6E7D">
        <w:tab/>
        <w:t>+49 (0)911-2023-467</w:t>
      </w:r>
      <w:r w:rsidRPr="003C6E7D">
        <w:tab/>
        <w:t>Telefon</w:t>
      </w:r>
      <w:r w:rsidRPr="003C6E7D">
        <w:tab/>
        <w:t>+49 (0)911-2023-203</w:t>
      </w:r>
      <w:r>
        <w:t xml:space="preserve"> / -134</w:t>
      </w:r>
    </w:p>
    <w:p w14:paraId="0CEE6F58" w14:textId="4A63376A" w:rsidR="008F5F48" w:rsidRPr="00410B1E" w:rsidRDefault="00410B1E" w:rsidP="00445A33">
      <w:pPr>
        <w:pStyle w:val="MMKurzprofil"/>
        <w:tabs>
          <w:tab w:val="clear" w:pos="8505"/>
          <w:tab w:val="left" w:pos="851"/>
          <w:tab w:val="left" w:pos="3544"/>
        </w:tabs>
        <w:rPr>
          <w:i/>
          <w:sz w:val="22"/>
          <w:szCs w:val="22"/>
        </w:rPr>
      </w:pPr>
      <w:r w:rsidRPr="006D36F9">
        <w:t>Telefax</w:t>
      </w:r>
      <w:r w:rsidRPr="006D36F9">
        <w:tab/>
        <w:t>+49 (0)911-2023-231</w:t>
      </w:r>
      <w:r>
        <w:tab/>
        <w:t>Telefax</w:t>
      </w:r>
      <w:r>
        <w:tab/>
        <w:t>+49 (0)911-2023-10203 / -10134</w:t>
      </w:r>
      <w:r>
        <w:br/>
        <w:t>E</w:t>
      </w:r>
      <w:r w:rsidRPr="006D36F9">
        <w:t>-Mail</w:t>
      </w:r>
      <w:r w:rsidRPr="006D36F9">
        <w:tab/>
      </w:r>
      <w:hyperlink r:id="rId16" w:history="1">
        <w:r w:rsidRPr="006D36F9">
          <w:rPr>
            <w:rStyle w:val="Hyperlink"/>
          </w:rPr>
          <w:t>presse@leoni.com</w:t>
        </w:r>
      </w:hyperlink>
      <w:r>
        <w:rPr>
          <w:rStyle w:val="Hyperlink"/>
          <w:u w:val="none"/>
        </w:rPr>
        <w:tab/>
      </w:r>
      <w:r>
        <w:t>E-Mail</w:t>
      </w:r>
      <w:r>
        <w:tab/>
      </w:r>
      <w:hyperlink r:id="rId17" w:history="1">
        <w:r w:rsidRPr="008E78D9">
          <w:rPr>
            <w:rStyle w:val="Hyperlink"/>
          </w:rPr>
          <w:t>invest@leoni.com</w:t>
        </w:r>
      </w:hyperlink>
    </w:p>
    <w:sectPr w:rsidR="008F5F48" w:rsidRPr="00410B1E" w:rsidSect="007E491E">
      <w:headerReference w:type="default" r:id="rId18"/>
      <w:footerReference w:type="default" r:id="rId19"/>
      <w:headerReference w:type="first" r:id="rId20"/>
      <w:footerReference w:type="first" r:id="rId21"/>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99E4" w14:textId="77777777" w:rsidR="00392867" w:rsidRPr="00A44C71" w:rsidRDefault="00392867">
      <w:pPr>
        <w:rPr>
          <w:sz w:val="16"/>
        </w:rPr>
      </w:pPr>
      <w:r>
        <w:separator/>
      </w:r>
    </w:p>
  </w:endnote>
  <w:endnote w:type="continuationSeparator" w:id="0">
    <w:p w14:paraId="3ADD136A" w14:textId="77777777" w:rsidR="00392867" w:rsidRPr="00A44C71" w:rsidRDefault="0039286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Calibri"/>
    <w:charset w:val="00"/>
    <w:family w:val="swiss"/>
    <w:pitch w:val="variable"/>
    <w:sig w:usb0="80000027" w:usb1="00000000" w:usb2="00000000" w:usb3="00000000" w:csb0="00000003" w:csb1="00000000"/>
  </w:font>
  <w:font w:name="Myriad Condensed">
    <w:altName w:val="Calibri"/>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7B7F" w14:textId="4EF1B356"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FB36BF">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FB36BF">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7715B58A"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F2AA"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7E1A4F80"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8D0E4" w14:textId="77777777" w:rsidR="00392867" w:rsidRPr="00A44C71" w:rsidRDefault="00392867">
      <w:pPr>
        <w:rPr>
          <w:sz w:val="16"/>
        </w:rPr>
      </w:pPr>
      <w:r>
        <w:separator/>
      </w:r>
    </w:p>
  </w:footnote>
  <w:footnote w:type="continuationSeparator" w:id="0">
    <w:p w14:paraId="6BE00C5A" w14:textId="77777777" w:rsidR="00392867" w:rsidRPr="00A44C71" w:rsidRDefault="00392867">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EFE4" w14:textId="77777777" w:rsidR="006F0BE8" w:rsidRPr="00F17738" w:rsidRDefault="006F0BE8" w:rsidP="006F0BE8">
    <w:pPr>
      <w:pStyle w:val="Kopfzeile"/>
      <w:tabs>
        <w:tab w:val="clear" w:pos="9072"/>
        <w:tab w:val="right" w:pos="9639"/>
      </w:tabs>
      <w:rPr>
        <w:rFonts w:ascii="Verdana" w:hAnsi="Verdana"/>
        <w:sz w:val="20"/>
      </w:rPr>
    </w:pPr>
  </w:p>
  <w:p w14:paraId="339FDCC3" w14:textId="77777777" w:rsidR="006F0BE8" w:rsidRPr="00F17738" w:rsidRDefault="006F0BE8" w:rsidP="006F0BE8">
    <w:pPr>
      <w:pStyle w:val="Kopfzeile"/>
      <w:tabs>
        <w:tab w:val="clear" w:pos="9072"/>
        <w:tab w:val="right" w:pos="9639"/>
      </w:tabs>
      <w:rPr>
        <w:rFonts w:ascii="Verdana" w:hAnsi="Verdana"/>
        <w:sz w:val="20"/>
      </w:rPr>
    </w:pPr>
  </w:p>
  <w:p w14:paraId="16E50400"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2EB98BB4" wp14:editId="1F314319">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AD741B3" w14:textId="77777777" w:rsidR="006F0BE8" w:rsidRDefault="006F0BE8" w:rsidP="006F0BE8">
    <w:pPr>
      <w:spacing w:before="60" w:line="360" w:lineRule="auto"/>
      <w:ind w:right="1429"/>
      <w:rPr>
        <w:rFonts w:ascii="Arial" w:hAnsi="Arial" w:cs="Arial"/>
        <w:b/>
        <w:sz w:val="20"/>
        <w:szCs w:val="20"/>
      </w:rPr>
    </w:pPr>
  </w:p>
  <w:p w14:paraId="5F0057BA"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2B326366" w14:textId="77777777" w:rsidR="006F0BE8" w:rsidRPr="00F17738" w:rsidRDefault="006F0BE8" w:rsidP="006F0BE8">
    <w:pPr>
      <w:pStyle w:val="Kopfzeile"/>
      <w:tabs>
        <w:tab w:val="clear" w:pos="9072"/>
        <w:tab w:val="right" w:pos="9639"/>
      </w:tabs>
      <w:rPr>
        <w:rFonts w:ascii="Verdana" w:hAnsi="Verdana"/>
        <w:sz w:val="20"/>
      </w:rPr>
    </w:pPr>
  </w:p>
  <w:p w14:paraId="471BF7F3" w14:textId="77777777" w:rsidR="006F0BE8" w:rsidRPr="00F17738" w:rsidRDefault="006F0BE8" w:rsidP="006F0BE8">
    <w:pPr>
      <w:pStyle w:val="Kopfzeile"/>
      <w:tabs>
        <w:tab w:val="clear" w:pos="9072"/>
        <w:tab w:val="right" w:pos="9639"/>
      </w:tabs>
      <w:rPr>
        <w:rFonts w:ascii="Verdana" w:hAnsi="Verdana"/>
        <w:sz w:val="20"/>
      </w:rPr>
    </w:pPr>
  </w:p>
  <w:p w14:paraId="17041273" w14:textId="77777777" w:rsidR="006F0BE8" w:rsidRPr="00F17738" w:rsidRDefault="006F0BE8" w:rsidP="006F0BE8">
    <w:pPr>
      <w:pStyle w:val="Kopfzeile"/>
      <w:tabs>
        <w:tab w:val="clear" w:pos="9072"/>
        <w:tab w:val="right" w:pos="9639"/>
      </w:tabs>
      <w:rPr>
        <w:rFonts w:ascii="Verdana" w:hAnsi="Verdana"/>
        <w:sz w:val="20"/>
      </w:rPr>
    </w:pPr>
  </w:p>
  <w:p w14:paraId="12449235"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CDF6" w14:textId="77777777" w:rsidR="00441012" w:rsidRPr="00F17738" w:rsidRDefault="00441012" w:rsidP="008F5F48">
    <w:pPr>
      <w:pStyle w:val="Kopfzeile"/>
      <w:ind w:right="12"/>
      <w:rPr>
        <w:rFonts w:ascii="Verdana" w:hAnsi="Verdana"/>
        <w:sz w:val="20"/>
      </w:rPr>
    </w:pPr>
  </w:p>
  <w:p w14:paraId="0269032E" w14:textId="77777777" w:rsidR="00441012" w:rsidRPr="00F17738" w:rsidRDefault="00441012" w:rsidP="008F5F48">
    <w:pPr>
      <w:pStyle w:val="Kopfzeile"/>
      <w:ind w:right="12"/>
      <w:rPr>
        <w:rFonts w:ascii="Verdana" w:hAnsi="Verdana"/>
        <w:sz w:val="20"/>
      </w:rPr>
    </w:pPr>
  </w:p>
  <w:p w14:paraId="11ABA0A7" w14:textId="77777777" w:rsidR="00441012" w:rsidRPr="00F17738" w:rsidRDefault="00441012" w:rsidP="008F5F48">
    <w:pPr>
      <w:pStyle w:val="Kopfzeile"/>
      <w:ind w:right="12"/>
      <w:rPr>
        <w:rFonts w:ascii="Verdana" w:hAnsi="Verdana"/>
        <w:sz w:val="20"/>
      </w:rPr>
    </w:pPr>
  </w:p>
  <w:p w14:paraId="003EEF35" w14:textId="77777777" w:rsidR="00441012" w:rsidRPr="00F17738" w:rsidRDefault="00441012" w:rsidP="008F5F48">
    <w:pPr>
      <w:pStyle w:val="Kopfzeile"/>
      <w:ind w:right="12"/>
      <w:rPr>
        <w:rFonts w:ascii="Verdana" w:hAnsi="Verdana"/>
        <w:sz w:val="20"/>
      </w:rPr>
    </w:pPr>
  </w:p>
  <w:p w14:paraId="096B61C8"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3FE7CD3B" wp14:editId="3AB91E49">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792D87F" w14:textId="77777777" w:rsidR="00441012" w:rsidRPr="00F17738" w:rsidRDefault="00441012" w:rsidP="008F5F48">
    <w:pPr>
      <w:pStyle w:val="Kopfzeile"/>
      <w:ind w:right="12"/>
      <w:rPr>
        <w:rFonts w:ascii="Verdana" w:hAnsi="Verdana"/>
        <w:sz w:val="20"/>
      </w:rPr>
    </w:pPr>
  </w:p>
  <w:p w14:paraId="57887A1C" w14:textId="77777777" w:rsidR="00441012" w:rsidRPr="00F17738" w:rsidRDefault="00441012" w:rsidP="008F5F48">
    <w:pPr>
      <w:pStyle w:val="Kopfzeile"/>
      <w:ind w:right="12"/>
      <w:rPr>
        <w:rFonts w:ascii="Verdana" w:hAnsi="Verdana"/>
        <w:sz w:val="20"/>
      </w:rPr>
    </w:pPr>
  </w:p>
  <w:p w14:paraId="29C16A27" w14:textId="77777777" w:rsidR="00441012" w:rsidRPr="00F17738" w:rsidRDefault="00441012" w:rsidP="008F5F48">
    <w:pPr>
      <w:pStyle w:val="Kopfzeile"/>
      <w:ind w:right="12"/>
      <w:rPr>
        <w:rFonts w:ascii="Verdana" w:hAnsi="Verdana"/>
        <w:sz w:val="20"/>
      </w:rPr>
    </w:pPr>
  </w:p>
  <w:p w14:paraId="7C1215CF" w14:textId="77777777" w:rsidR="00441012" w:rsidRPr="00F17738" w:rsidRDefault="00441012" w:rsidP="008F5F48">
    <w:pPr>
      <w:pStyle w:val="Kopfzeile"/>
      <w:ind w:right="12"/>
      <w:rPr>
        <w:rFonts w:ascii="Verdana" w:hAnsi="Verdana"/>
        <w:sz w:val="20"/>
      </w:rPr>
    </w:pPr>
  </w:p>
  <w:p w14:paraId="5CDB9684" w14:textId="77777777" w:rsidR="00441012" w:rsidRPr="00F17738" w:rsidRDefault="00441012" w:rsidP="008F5F48">
    <w:pPr>
      <w:pStyle w:val="Kopfzeile"/>
      <w:ind w:right="12"/>
      <w:rPr>
        <w:rFonts w:ascii="Verdana" w:hAnsi="Verdana"/>
        <w:sz w:val="20"/>
      </w:rPr>
    </w:pPr>
  </w:p>
  <w:p w14:paraId="6F2A2A94"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D517A"/>
    <w:multiLevelType w:val="hybridMultilevel"/>
    <w:tmpl w:val="D9146DB2"/>
    <w:lvl w:ilvl="0" w:tplc="C1FA1E9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8B79D4"/>
    <w:multiLevelType w:val="hybridMultilevel"/>
    <w:tmpl w:val="CB0E7564"/>
    <w:lvl w:ilvl="0" w:tplc="63D41CA8">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67655CB"/>
    <w:multiLevelType w:val="hybridMultilevel"/>
    <w:tmpl w:val="7116D7C0"/>
    <w:lvl w:ilvl="0" w:tplc="8A3CC034">
      <w:numFmt w:val="bullet"/>
      <w:pStyle w:val="MMU2"/>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52D5"/>
    <w:rsid w:val="000079E4"/>
    <w:rsid w:val="0001259D"/>
    <w:rsid w:val="00013A64"/>
    <w:rsid w:val="0002408F"/>
    <w:rsid w:val="00030FC6"/>
    <w:rsid w:val="0003314F"/>
    <w:rsid w:val="00034542"/>
    <w:rsid w:val="0003754B"/>
    <w:rsid w:val="000453F9"/>
    <w:rsid w:val="0004676A"/>
    <w:rsid w:val="00047F80"/>
    <w:rsid w:val="00053262"/>
    <w:rsid w:val="00055E09"/>
    <w:rsid w:val="000636A9"/>
    <w:rsid w:val="0007029D"/>
    <w:rsid w:val="00076316"/>
    <w:rsid w:val="00090DA5"/>
    <w:rsid w:val="000A0822"/>
    <w:rsid w:val="000A32BC"/>
    <w:rsid w:val="000A4F93"/>
    <w:rsid w:val="000A4FAE"/>
    <w:rsid w:val="000A7B89"/>
    <w:rsid w:val="000B3BF8"/>
    <w:rsid w:val="000B5865"/>
    <w:rsid w:val="000C02B1"/>
    <w:rsid w:val="000C1232"/>
    <w:rsid w:val="000C5E14"/>
    <w:rsid w:val="000D12FB"/>
    <w:rsid w:val="000E05CE"/>
    <w:rsid w:val="000E0BCB"/>
    <w:rsid w:val="000E6946"/>
    <w:rsid w:val="000F2DC6"/>
    <w:rsid w:val="00102158"/>
    <w:rsid w:val="00110484"/>
    <w:rsid w:val="00112EFB"/>
    <w:rsid w:val="0011372F"/>
    <w:rsid w:val="001161B4"/>
    <w:rsid w:val="00117BD4"/>
    <w:rsid w:val="00123771"/>
    <w:rsid w:val="00123B76"/>
    <w:rsid w:val="00125065"/>
    <w:rsid w:val="00126C5F"/>
    <w:rsid w:val="00130F82"/>
    <w:rsid w:val="00131358"/>
    <w:rsid w:val="00132B87"/>
    <w:rsid w:val="0013325F"/>
    <w:rsid w:val="00134E77"/>
    <w:rsid w:val="001418BE"/>
    <w:rsid w:val="0014292D"/>
    <w:rsid w:val="001454B6"/>
    <w:rsid w:val="00147E2C"/>
    <w:rsid w:val="00151EEF"/>
    <w:rsid w:val="00152D54"/>
    <w:rsid w:val="00157C54"/>
    <w:rsid w:val="00160569"/>
    <w:rsid w:val="00172DBF"/>
    <w:rsid w:val="001734DC"/>
    <w:rsid w:val="001738D5"/>
    <w:rsid w:val="0017416D"/>
    <w:rsid w:val="00174507"/>
    <w:rsid w:val="00176EB6"/>
    <w:rsid w:val="00184530"/>
    <w:rsid w:val="00184E80"/>
    <w:rsid w:val="0018564D"/>
    <w:rsid w:val="0019085A"/>
    <w:rsid w:val="00190924"/>
    <w:rsid w:val="00195338"/>
    <w:rsid w:val="001A26F1"/>
    <w:rsid w:val="001A2F5B"/>
    <w:rsid w:val="001B621B"/>
    <w:rsid w:val="001B6DC2"/>
    <w:rsid w:val="001B763D"/>
    <w:rsid w:val="001C0CC3"/>
    <w:rsid w:val="001C25E2"/>
    <w:rsid w:val="001C7543"/>
    <w:rsid w:val="001D1868"/>
    <w:rsid w:val="001D2CDB"/>
    <w:rsid w:val="001D4108"/>
    <w:rsid w:val="001F2A9F"/>
    <w:rsid w:val="001F6B7B"/>
    <w:rsid w:val="00207FC6"/>
    <w:rsid w:val="00211D05"/>
    <w:rsid w:val="0021235B"/>
    <w:rsid w:val="00222871"/>
    <w:rsid w:val="0022421D"/>
    <w:rsid w:val="00230401"/>
    <w:rsid w:val="0023293F"/>
    <w:rsid w:val="00240866"/>
    <w:rsid w:val="0024234A"/>
    <w:rsid w:val="00245C9E"/>
    <w:rsid w:val="00260A78"/>
    <w:rsid w:val="00261B16"/>
    <w:rsid w:val="002630D8"/>
    <w:rsid w:val="00264325"/>
    <w:rsid w:val="002741BC"/>
    <w:rsid w:val="002855D6"/>
    <w:rsid w:val="002929B6"/>
    <w:rsid w:val="002956A9"/>
    <w:rsid w:val="0029603C"/>
    <w:rsid w:val="002965B8"/>
    <w:rsid w:val="002B325C"/>
    <w:rsid w:val="002B59D6"/>
    <w:rsid w:val="002B5B50"/>
    <w:rsid w:val="002B7AC7"/>
    <w:rsid w:val="002B7BFA"/>
    <w:rsid w:val="002C118D"/>
    <w:rsid w:val="002D7787"/>
    <w:rsid w:val="002E009D"/>
    <w:rsid w:val="002E1CB0"/>
    <w:rsid w:val="002E39D1"/>
    <w:rsid w:val="00310357"/>
    <w:rsid w:val="003118F1"/>
    <w:rsid w:val="00313ADA"/>
    <w:rsid w:val="00313D17"/>
    <w:rsid w:val="00320044"/>
    <w:rsid w:val="00327805"/>
    <w:rsid w:val="00361CF2"/>
    <w:rsid w:val="00362050"/>
    <w:rsid w:val="003621D6"/>
    <w:rsid w:val="00363AC0"/>
    <w:rsid w:val="00364D90"/>
    <w:rsid w:val="00364DCD"/>
    <w:rsid w:val="00382198"/>
    <w:rsid w:val="003824A2"/>
    <w:rsid w:val="00392867"/>
    <w:rsid w:val="003930FD"/>
    <w:rsid w:val="00395815"/>
    <w:rsid w:val="00395C57"/>
    <w:rsid w:val="00397AC4"/>
    <w:rsid w:val="003A379E"/>
    <w:rsid w:val="003A73F1"/>
    <w:rsid w:val="003B5354"/>
    <w:rsid w:val="003B6116"/>
    <w:rsid w:val="003C6AAE"/>
    <w:rsid w:val="003D2799"/>
    <w:rsid w:val="003D4445"/>
    <w:rsid w:val="003D5BD6"/>
    <w:rsid w:val="003D797E"/>
    <w:rsid w:val="003E190D"/>
    <w:rsid w:val="003E43B4"/>
    <w:rsid w:val="003E4B96"/>
    <w:rsid w:val="003F14D0"/>
    <w:rsid w:val="003F37E2"/>
    <w:rsid w:val="003F74D0"/>
    <w:rsid w:val="00402159"/>
    <w:rsid w:val="00404468"/>
    <w:rsid w:val="00410B1E"/>
    <w:rsid w:val="00421378"/>
    <w:rsid w:val="00432245"/>
    <w:rsid w:val="00432734"/>
    <w:rsid w:val="00432D1D"/>
    <w:rsid w:val="00440769"/>
    <w:rsid w:val="00441012"/>
    <w:rsid w:val="00441963"/>
    <w:rsid w:val="00445A33"/>
    <w:rsid w:val="0045071B"/>
    <w:rsid w:val="00450CE2"/>
    <w:rsid w:val="00451236"/>
    <w:rsid w:val="004547BF"/>
    <w:rsid w:val="004612DA"/>
    <w:rsid w:val="00464F00"/>
    <w:rsid w:val="00466073"/>
    <w:rsid w:val="00473340"/>
    <w:rsid w:val="00473E7D"/>
    <w:rsid w:val="004826F0"/>
    <w:rsid w:val="004A1653"/>
    <w:rsid w:val="004A457B"/>
    <w:rsid w:val="004A5E5B"/>
    <w:rsid w:val="004B0623"/>
    <w:rsid w:val="004B0A96"/>
    <w:rsid w:val="004B2FE2"/>
    <w:rsid w:val="004B3DB8"/>
    <w:rsid w:val="004B4CC2"/>
    <w:rsid w:val="004B78AC"/>
    <w:rsid w:val="004C1AB9"/>
    <w:rsid w:val="004D2FCB"/>
    <w:rsid w:val="004D643A"/>
    <w:rsid w:val="004E29FC"/>
    <w:rsid w:val="004F038C"/>
    <w:rsid w:val="004F2266"/>
    <w:rsid w:val="004F244E"/>
    <w:rsid w:val="004F7079"/>
    <w:rsid w:val="00500004"/>
    <w:rsid w:val="00500B29"/>
    <w:rsid w:val="005072AE"/>
    <w:rsid w:val="00524FFC"/>
    <w:rsid w:val="00526F46"/>
    <w:rsid w:val="00527717"/>
    <w:rsid w:val="00533F65"/>
    <w:rsid w:val="00541239"/>
    <w:rsid w:val="00543C34"/>
    <w:rsid w:val="005448AB"/>
    <w:rsid w:val="00547D6D"/>
    <w:rsid w:val="00552909"/>
    <w:rsid w:val="0056043F"/>
    <w:rsid w:val="0056396B"/>
    <w:rsid w:val="00590AC6"/>
    <w:rsid w:val="00597C74"/>
    <w:rsid w:val="005A0F90"/>
    <w:rsid w:val="005B4DC3"/>
    <w:rsid w:val="005B7FDD"/>
    <w:rsid w:val="005C5351"/>
    <w:rsid w:val="005D032D"/>
    <w:rsid w:val="005D1A16"/>
    <w:rsid w:val="005D4C87"/>
    <w:rsid w:val="005D550E"/>
    <w:rsid w:val="005E0BBB"/>
    <w:rsid w:val="005F442F"/>
    <w:rsid w:val="00600E53"/>
    <w:rsid w:val="006048E5"/>
    <w:rsid w:val="00614A49"/>
    <w:rsid w:val="0061798D"/>
    <w:rsid w:val="006200E8"/>
    <w:rsid w:val="00620331"/>
    <w:rsid w:val="0062285E"/>
    <w:rsid w:val="00626983"/>
    <w:rsid w:val="00631FB1"/>
    <w:rsid w:val="00633215"/>
    <w:rsid w:val="00633487"/>
    <w:rsid w:val="00634FB2"/>
    <w:rsid w:val="006457CF"/>
    <w:rsid w:val="006511C9"/>
    <w:rsid w:val="00654989"/>
    <w:rsid w:val="006611CF"/>
    <w:rsid w:val="0066292E"/>
    <w:rsid w:val="00662BC7"/>
    <w:rsid w:val="00662D5D"/>
    <w:rsid w:val="00665E02"/>
    <w:rsid w:val="00667A44"/>
    <w:rsid w:val="00673125"/>
    <w:rsid w:val="00681C65"/>
    <w:rsid w:val="00683653"/>
    <w:rsid w:val="00683EF3"/>
    <w:rsid w:val="006855F2"/>
    <w:rsid w:val="00687004"/>
    <w:rsid w:val="006A76CA"/>
    <w:rsid w:val="006B2678"/>
    <w:rsid w:val="006B43B5"/>
    <w:rsid w:val="006C5546"/>
    <w:rsid w:val="006C6A78"/>
    <w:rsid w:val="006D1EE5"/>
    <w:rsid w:val="006D27C6"/>
    <w:rsid w:val="006D36F9"/>
    <w:rsid w:val="006D76F8"/>
    <w:rsid w:val="006E0029"/>
    <w:rsid w:val="006E04C3"/>
    <w:rsid w:val="006E49BF"/>
    <w:rsid w:val="006F0BE8"/>
    <w:rsid w:val="006F435B"/>
    <w:rsid w:val="006F4393"/>
    <w:rsid w:val="006F78FE"/>
    <w:rsid w:val="006F7CD2"/>
    <w:rsid w:val="007026B8"/>
    <w:rsid w:val="00710F2A"/>
    <w:rsid w:val="00713591"/>
    <w:rsid w:val="00720539"/>
    <w:rsid w:val="00721853"/>
    <w:rsid w:val="007218EA"/>
    <w:rsid w:val="00721D01"/>
    <w:rsid w:val="00721EA2"/>
    <w:rsid w:val="007220EA"/>
    <w:rsid w:val="00730006"/>
    <w:rsid w:val="00733E8F"/>
    <w:rsid w:val="00741123"/>
    <w:rsid w:val="007420F8"/>
    <w:rsid w:val="00746469"/>
    <w:rsid w:val="00747BA4"/>
    <w:rsid w:val="00751969"/>
    <w:rsid w:val="00753B5B"/>
    <w:rsid w:val="00765E37"/>
    <w:rsid w:val="00772BA7"/>
    <w:rsid w:val="00772C01"/>
    <w:rsid w:val="007747B6"/>
    <w:rsid w:val="00774E03"/>
    <w:rsid w:val="00782E7E"/>
    <w:rsid w:val="00783A5E"/>
    <w:rsid w:val="007851FC"/>
    <w:rsid w:val="007864F1"/>
    <w:rsid w:val="00795463"/>
    <w:rsid w:val="00796408"/>
    <w:rsid w:val="007A675F"/>
    <w:rsid w:val="007C3759"/>
    <w:rsid w:val="007D7D60"/>
    <w:rsid w:val="007E491E"/>
    <w:rsid w:val="007E6562"/>
    <w:rsid w:val="007F3212"/>
    <w:rsid w:val="008045E1"/>
    <w:rsid w:val="0080643F"/>
    <w:rsid w:val="00815946"/>
    <w:rsid w:val="00821BA4"/>
    <w:rsid w:val="0083522C"/>
    <w:rsid w:val="008446CD"/>
    <w:rsid w:val="00852389"/>
    <w:rsid w:val="008528D2"/>
    <w:rsid w:val="00860B7C"/>
    <w:rsid w:val="00865127"/>
    <w:rsid w:val="00877C02"/>
    <w:rsid w:val="00883645"/>
    <w:rsid w:val="0088609B"/>
    <w:rsid w:val="008920B0"/>
    <w:rsid w:val="00897230"/>
    <w:rsid w:val="008A1047"/>
    <w:rsid w:val="008A346F"/>
    <w:rsid w:val="008A69D8"/>
    <w:rsid w:val="008A7D3E"/>
    <w:rsid w:val="008B1883"/>
    <w:rsid w:val="008B24BA"/>
    <w:rsid w:val="008C29CB"/>
    <w:rsid w:val="008D26BA"/>
    <w:rsid w:val="008D6717"/>
    <w:rsid w:val="008E101F"/>
    <w:rsid w:val="008E236B"/>
    <w:rsid w:val="008E4765"/>
    <w:rsid w:val="008E5232"/>
    <w:rsid w:val="008E7760"/>
    <w:rsid w:val="008F5F48"/>
    <w:rsid w:val="008F7C2E"/>
    <w:rsid w:val="0090671E"/>
    <w:rsid w:val="00906898"/>
    <w:rsid w:val="00913306"/>
    <w:rsid w:val="009261E8"/>
    <w:rsid w:val="00930134"/>
    <w:rsid w:val="00936411"/>
    <w:rsid w:val="00936962"/>
    <w:rsid w:val="0095089E"/>
    <w:rsid w:val="009613DC"/>
    <w:rsid w:val="00961415"/>
    <w:rsid w:val="00967E91"/>
    <w:rsid w:val="009714B0"/>
    <w:rsid w:val="00977A5F"/>
    <w:rsid w:val="00977A87"/>
    <w:rsid w:val="00980D94"/>
    <w:rsid w:val="00982D80"/>
    <w:rsid w:val="009A05EE"/>
    <w:rsid w:val="009A1070"/>
    <w:rsid w:val="009B1EDC"/>
    <w:rsid w:val="009B48FF"/>
    <w:rsid w:val="009B564D"/>
    <w:rsid w:val="009C6B13"/>
    <w:rsid w:val="009D5AE9"/>
    <w:rsid w:val="009D6ABC"/>
    <w:rsid w:val="009F6805"/>
    <w:rsid w:val="009F752B"/>
    <w:rsid w:val="00A00B82"/>
    <w:rsid w:val="00A01AE4"/>
    <w:rsid w:val="00A01E03"/>
    <w:rsid w:val="00A12538"/>
    <w:rsid w:val="00A22DD6"/>
    <w:rsid w:val="00A23768"/>
    <w:rsid w:val="00A268EB"/>
    <w:rsid w:val="00A27173"/>
    <w:rsid w:val="00A34AA7"/>
    <w:rsid w:val="00A51DDE"/>
    <w:rsid w:val="00A52A32"/>
    <w:rsid w:val="00A54DDA"/>
    <w:rsid w:val="00A66992"/>
    <w:rsid w:val="00A708D7"/>
    <w:rsid w:val="00A76415"/>
    <w:rsid w:val="00A801EA"/>
    <w:rsid w:val="00A92505"/>
    <w:rsid w:val="00A94224"/>
    <w:rsid w:val="00AA09F4"/>
    <w:rsid w:val="00AA21DF"/>
    <w:rsid w:val="00AA2A8D"/>
    <w:rsid w:val="00AB5F36"/>
    <w:rsid w:val="00AC013F"/>
    <w:rsid w:val="00AC2AE0"/>
    <w:rsid w:val="00AC7A23"/>
    <w:rsid w:val="00AD3E26"/>
    <w:rsid w:val="00AD7591"/>
    <w:rsid w:val="00AE43B7"/>
    <w:rsid w:val="00AF0A61"/>
    <w:rsid w:val="00AF3E2D"/>
    <w:rsid w:val="00B001B6"/>
    <w:rsid w:val="00B014F3"/>
    <w:rsid w:val="00B01C97"/>
    <w:rsid w:val="00B06867"/>
    <w:rsid w:val="00B06945"/>
    <w:rsid w:val="00B1340F"/>
    <w:rsid w:val="00B139E4"/>
    <w:rsid w:val="00B1500E"/>
    <w:rsid w:val="00B23C26"/>
    <w:rsid w:val="00B3540F"/>
    <w:rsid w:val="00B375B9"/>
    <w:rsid w:val="00B45E40"/>
    <w:rsid w:val="00B466F2"/>
    <w:rsid w:val="00B5266D"/>
    <w:rsid w:val="00B67561"/>
    <w:rsid w:val="00B70B1A"/>
    <w:rsid w:val="00B70D8F"/>
    <w:rsid w:val="00B71C6F"/>
    <w:rsid w:val="00B75A29"/>
    <w:rsid w:val="00B82B8E"/>
    <w:rsid w:val="00B82FD5"/>
    <w:rsid w:val="00B95A08"/>
    <w:rsid w:val="00B96DE2"/>
    <w:rsid w:val="00BA0052"/>
    <w:rsid w:val="00BA138F"/>
    <w:rsid w:val="00BA1DFA"/>
    <w:rsid w:val="00BB1A73"/>
    <w:rsid w:val="00BB3192"/>
    <w:rsid w:val="00BB3EA2"/>
    <w:rsid w:val="00BB43FA"/>
    <w:rsid w:val="00BB4DA9"/>
    <w:rsid w:val="00BC5FE7"/>
    <w:rsid w:val="00BD22AC"/>
    <w:rsid w:val="00BD2643"/>
    <w:rsid w:val="00BD4058"/>
    <w:rsid w:val="00BD6445"/>
    <w:rsid w:val="00BE195E"/>
    <w:rsid w:val="00BF2018"/>
    <w:rsid w:val="00BF4C1E"/>
    <w:rsid w:val="00BF5681"/>
    <w:rsid w:val="00BF7DEC"/>
    <w:rsid w:val="00C03D20"/>
    <w:rsid w:val="00C07A74"/>
    <w:rsid w:val="00C108BC"/>
    <w:rsid w:val="00C11645"/>
    <w:rsid w:val="00C1516A"/>
    <w:rsid w:val="00C40C1D"/>
    <w:rsid w:val="00C4554D"/>
    <w:rsid w:val="00C4636C"/>
    <w:rsid w:val="00C506A6"/>
    <w:rsid w:val="00C6770A"/>
    <w:rsid w:val="00C70CFD"/>
    <w:rsid w:val="00C70F49"/>
    <w:rsid w:val="00C7427E"/>
    <w:rsid w:val="00C76A26"/>
    <w:rsid w:val="00C83527"/>
    <w:rsid w:val="00C83F49"/>
    <w:rsid w:val="00C900A9"/>
    <w:rsid w:val="00C94F0F"/>
    <w:rsid w:val="00C96EBA"/>
    <w:rsid w:val="00CA481B"/>
    <w:rsid w:val="00CA4B57"/>
    <w:rsid w:val="00CA6DDB"/>
    <w:rsid w:val="00CB644E"/>
    <w:rsid w:val="00CC3F86"/>
    <w:rsid w:val="00CC6B21"/>
    <w:rsid w:val="00D01274"/>
    <w:rsid w:val="00D036C2"/>
    <w:rsid w:val="00D04407"/>
    <w:rsid w:val="00D1225B"/>
    <w:rsid w:val="00D15735"/>
    <w:rsid w:val="00D2197B"/>
    <w:rsid w:val="00D22ED7"/>
    <w:rsid w:val="00D2546A"/>
    <w:rsid w:val="00D413F1"/>
    <w:rsid w:val="00D47FA5"/>
    <w:rsid w:val="00D517EE"/>
    <w:rsid w:val="00D56A62"/>
    <w:rsid w:val="00D65513"/>
    <w:rsid w:val="00D66C37"/>
    <w:rsid w:val="00D700B9"/>
    <w:rsid w:val="00D738A7"/>
    <w:rsid w:val="00D73A2A"/>
    <w:rsid w:val="00D74838"/>
    <w:rsid w:val="00D7716B"/>
    <w:rsid w:val="00D80DBE"/>
    <w:rsid w:val="00D84EAA"/>
    <w:rsid w:val="00D85488"/>
    <w:rsid w:val="00D90D76"/>
    <w:rsid w:val="00D95483"/>
    <w:rsid w:val="00D9602A"/>
    <w:rsid w:val="00DA077B"/>
    <w:rsid w:val="00DA49A1"/>
    <w:rsid w:val="00DA79F8"/>
    <w:rsid w:val="00DB1B96"/>
    <w:rsid w:val="00DB2E93"/>
    <w:rsid w:val="00DB536A"/>
    <w:rsid w:val="00DC05F2"/>
    <w:rsid w:val="00DC19CD"/>
    <w:rsid w:val="00DD5149"/>
    <w:rsid w:val="00DD6201"/>
    <w:rsid w:val="00DD67C1"/>
    <w:rsid w:val="00DD7F27"/>
    <w:rsid w:val="00DF6351"/>
    <w:rsid w:val="00DF6B00"/>
    <w:rsid w:val="00E01673"/>
    <w:rsid w:val="00E029EA"/>
    <w:rsid w:val="00E02B7A"/>
    <w:rsid w:val="00E02E00"/>
    <w:rsid w:val="00E2445B"/>
    <w:rsid w:val="00E24FA9"/>
    <w:rsid w:val="00E33130"/>
    <w:rsid w:val="00E358C1"/>
    <w:rsid w:val="00E367AB"/>
    <w:rsid w:val="00E36F08"/>
    <w:rsid w:val="00E45475"/>
    <w:rsid w:val="00E460C8"/>
    <w:rsid w:val="00E569A0"/>
    <w:rsid w:val="00E626EE"/>
    <w:rsid w:val="00E74755"/>
    <w:rsid w:val="00E76BA0"/>
    <w:rsid w:val="00E86816"/>
    <w:rsid w:val="00E86D57"/>
    <w:rsid w:val="00E93051"/>
    <w:rsid w:val="00E96673"/>
    <w:rsid w:val="00EC0A0C"/>
    <w:rsid w:val="00EC0E74"/>
    <w:rsid w:val="00EC32B0"/>
    <w:rsid w:val="00EC6520"/>
    <w:rsid w:val="00ED089B"/>
    <w:rsid w:val="00ED1040"/>
    <w:rsid w:val="00ED47BD"/>
    <w:rsid w:val="00EE3329"/>
    <w:rsid w:val="00EF18F1"/>
    <w:rsid w:val="00EF591E"/>
    <w:rsid w:val="00F14B05"/>
    <w:rsid w:val="00F21EA0"/>
    <w:rsid w:val="00F31444"/>
    <w:rsid w:val="00F37865"/>
    <w:rsid w:val="00F403D1"/>
    <w:rsid w:val="00F45817"/>
    <w:rsid w:val="00F53056"/>
    <w:rsid w:val="00F64775"/>
    <w:rsid w:val="00F67138"/>
    <w:rsid w:val="00F737A1"/>
    <w:rsid w:val="00F73C92"/>
    <w:rsid w:val="00F77BB5"/>
    <w:rsid w:val="00F80249"/>
    <w:rsid w:val="00F811D3"/>
    <w:rsid w:val="00F84B1D"/>
    <w:rsid w:val="00F90257"/>
    <w:rsid w:val="00F91A18"/>
    <w:rsid w:val="00F91FB0"/>
    <w:rsid w:val="00F92DC3"/>
    <w:rsid w:val="00F94F62"/>
    <w:rsid w:val="00F955C9"/>
    <w:rsid w:val="00FB36BF"/>
    <w:rsid w:val="00FC2BA4"/>
    <w:rsid w:val="00FC2E3B"/>
    <w:rsid w:val="00FD0E7A"/>
    <w:rsid w:val="00FD75D9"/>
    <w:rsid w:val="00FE0AC5"/>
    <w:rsid w:val="00FE68FC"/>
    <w:rsid w:val="00FF2217"/>
    <w:rsid w:val="00FF2690"/>
    <w:rsid w:val="00FF303C"/>
    <w:rsid w:val="00FF51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68BE40AD"/>
  <w15:docId w15:val="{868D7E82-414A-4D36-8A24-A3AD4867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link w:val="KommentartextZchn"/>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445A33"/>
    <w:pPr>
      <w:ind w:right="1922"/>
    </w:pPr>
    <w:rPr>
      <w:rFonts w:ascii="Arial" w:hAnsi="Arial"/>
      <w:bCs/>
      <w:spacing w:val="-4"/>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B375B9"/>
    <w:pPr>
      <w:numPr>
        <w:numId w:val="5"/>
      </w:num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4581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45A33"/>
    <w:rPr>
      <w:rFonts w:ascii="Arial" w:hAnsi="Arial"/>
      <w:b/>
      <w:bCs/>
      <w:color w:val="112E6B"/>
      <w:spacing w:val="-4"/>
      <w:sz w:val="24"/>
      <w:szCs w:val="22"/>
      <w:lang w:val="de-DE" w:eastAsia="de-DE" w:bidi="ar-SA"/>
    </w:rPr>
  </w:style>
  <w:style w:type="character" w:customStyle="1" w:styleId="MMU2Zchn">
    <w:name w:val="MM U2 Zchn"/>
    <w:basedOn w:val="berschrift1Zchn"/>
    <w:link w:val="MMU2"/>
    <w:rsid w:val="00B375B9"/>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4581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 w:type="character" w:customStyle="1" w:styleId="KommentartextZchn">
    <w:name w:val="Kommentartext Zchn"/>
    <w:basedOn w:val="Absatz-Standardschriftart"/>
    <w:link w:val="Kommentartext"/>
    <w:semiHidden/>
    <w:rsid w:val="002D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473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178348663">
      <w:bodyDiv w:val="1"/>
      <w:marLeft w:val="0"/>
      <w:marRight w:val="0"/>
      <w:marTop w:val="0"/>
      <w:marBottom w:val="0"/>
      <w:divBdr>
        <w:top w:val="none" w:sz="0" w:space="0" w:color="auto"/>
        <w:left w:val="none" w:sz="0" w:space="0" w:color="auto"/>
        <w:bottom w:val="none" w:sz="0" w:space="0" w:color="auto"/>
        <w:right w:val="none" w:sz="0" w:space="0" w:color="auto"/>
      </w:divBdr>
      <w:divsChild>
        <w:div w:id="65692727">
          <w:marLeft w:val="0"/>
          <w:marRight w:val="0"/>
          <w:marTop w:val="0"/>
          <w:marBottom w:val="0"/>
          <w:divBdr>
            <w:top w:val="none" w:sz="0" w:space="0" w:color="auto"/>
            <w:left w:val="none" w:sz="0" w:space="0" w:color="auto"/>
            <w:bottom w:val="none" w:sz="0" w:space="0" w:color="auto"/>
            <w:right w:val="none" w:sz="0" w:space="0" w:color="auto"/>
          </w:divBdr>
          <w:divsChild>
            <w:div w:id="1895197710">
              <w:marLeft w:val="0"/>
              <w:marRight w:val="0"/>
              <w:marTop w:val="0"/>
              <w:marBottom w:val="0"/>
              <w:divBdr>
                <w:top w:val="none" w:sz="0" w:space="0" w:color="auto"/>
                <w:left w:val="none" w:sz="0" w:space="0" w:color="auto"/>
                <w:bottom w:val="none" w:sz="0" w:space="0" w:color="auto"/>
                <w:right w:val="none" w:sz="0" w:space="0" w:color="auto"/>
              </w:divBdr>
              <w:divsChild>
                <w:div w:id="1565144694">
                  <w:marLeft w:val="0"/>
                  <w:marRight w:val="0"/>
                  <w:marTop w:val="0"/>
                  <w:marBottom w:val="0"/>
                  <w:divBdr>
                    <w:top w:val="none" w:sz="0" w:space="0" w:color="auto"/>
                    <w:left w:val="none" w:sz="0" w:space="0" w:color="auto"/>
                    <w:bottom w:val="none" w:sz="0" w:space="0" w:color="auto"/>
                    <w:right w:val="none" w:sz="0" w:space="0" w:color="auto"/>
                  </w:divBdr>
                  <w:divsChild>
                    <w:div w:id="810295854">
                      <w:marLeft w:val="0"/>
                      <w:marRight w:val="0"/>
                      <w:marTop w:val="0"/>
                      <w:marBottom w:val="0"/>
                      <w:divBdr>
                        <w:top w:val="none" w:sz="0" w:space="0" w:color="auto"/>
                        <w:left w:val="none" w:sz="0" w:space="0" w:color="auto"/>
                        <w:bottom w:val="none" w:sz="0" w:space="0" w:color="auto"/>
                        <w:right w:val="none" w:sz="0" w:space="0" w:color="auto"/>
                      </w:divBdr>
                      <w:divsChild>
                        <w:div w:id="414981637">
                          <w:marLeft w:val="0"/>
                          <w:marRight w:val="0"/>
                          <w:marTop w:val="0"/>
                          <w:marBottom w:val="0"/>
                          <w:divBdr>
                            <w:top w:val="none" w:sz="0" w:space="0" w:color="auto"/>
                            <w:left w:val="none" w:sz="0" w:space="0" w:color="auto"/>
                            <w:bottom w:val="none" w:sz="0" w:space="0" w:color="auto"/>
                            <w:right w:val="none" w:sz="0" w:space="0" w:color="auto"/>
                          </w:divBdr>
                          <w:divsChild>
                            <w:div w:id="1992322613">
                              <w:marLeft w:val="-225"/>
                              <w:marRight w:val="-225"/>
                              <w:marTop w:val="0"/>
                              <w:marBottom w:val="0"/>
                              <w:divBdr>
                                <w:top w:val="none" w:sz="0" w:space="0" w:color="auto"/>
                                <w:left w:val="none" w:sz="0" w:space="0" w:color="auto"/>
                                <w:bottom w:val="none" w:sz="0" w:space="0" w:color="auto"/>
                                <w:right w:val="none" w:sz="0" w:space="0" w:color="auto"/>
                              </w:divBdr>
                              <w:divsChild>
                                <w:div w:id="2027364988">
                                  <w:marLeft w:val="0"/>
                                  <w:marRight w:val="0"/>
                                  <w:marTop w:val="0"/>
                                  <w:marBottom w:val="0"/>
                                  <w:divBdr>
                                    <w:top w:val="none" w:sz="0" w:space="0" w:color="auto"/>
                                    <w:left w:val="none" w:sz="0" w:space="0" w:color="auto"/>
                                    <w:bottom w:val="none" w:sz="0" w:space="0" w:color="auto"/>
                                    <w:right w:val="none" w:sz="0" w:space="0" w:color="auto"/>
                                  </w:divBdr>
                                  <w:divsChild>
                                    <w:div w:id="12830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leoni-waechst-im-ersten-quartal-2018-um-14-prozent-aus-eigener-kraft/"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nkedin.com/company/leoni" TargetMode="External"/><Relationship Id="rId17" Type="http://schemas.openxmlformats.org/officeDocument/2006/relationships/hyperlink" Target="mailto:invest@leoni.com" TargetMode="Externa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facebook.com/theleoni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oni.com/de/finanzpublikationen" TargetMode="External"/><Relationship Id="rId14" Type="http://schemas.openxmlformats.org/officeDocument/2006/relationships/hyperlink" Target="https://www.xing.com/companies/leonia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789E-6DCF-4E6A-9BBB-2B299DA2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2E509E90.dotm</Template>
  <TotalTime>0</TotalTime>
  <Pages>3</Pages>
  <Words>860</Words>
  <Characters>5764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6611</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2018-05-15T12:48:00Z</cp:lastPrinted>
  <dcterms:created xsi:type="dcterms:W3CDTF">2018-05-14T14:50:00Z</dcterms:created>
  <dcterms:modified xsi:type="dcterms:W3CDTF">2018-05-15T12:49:00Z</dcterms:modified>
</cp:coreProperties>
</file>