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D0" w:rsidRPr="00BA53D0" w:rsidRDefault="00BA53D0" w:rsidP="00CB2A91">
      <w:pPr>
        <w:pStyle w:val="MMU1"/>
      </w:pPr>
      <w:r w:rsidRPr="00BA53D0">
        <w:t>Leoni raises sales forecast following good performance in the 1</w:t>
      </w:r>
      <w:r w:rsidRPr="00BA53D0">
        <w:rPr>
          <w:vertAlign w:val="superscript"/>
        </w:rPr>
        <w:t>st</w:t>
      </w:r>
      <w:r w:rsidRPr="00BA53D0">
        <w:t xml:space="preserve"> half  </w:t>
      </w:r>
    </w:p>
    <w:p w:rsidR="00BA53D0" w:rsidRPr="00BA53D0" w:rsidRDefault="00BA53D0" w:rsidP="00BA53D0">
      <w:pPr>
        <w:pStyle w:val="MMU2"/>
        <w:numPr>
          <w:ilvl w:val="0"/>
          <w:numId w:val="3"/>
        </w:numPr>
        <w:spacing w:after="0"/>
        <w:ind w:left="357" w:hanging="357"/>
        <w:rPr>
          <w:lang w:val="en-GB"/>
        </w:rPr>
      </w:pPr>
      <w:r w:rsidRPr="00BA53D0">
        <w:rPr>
          <w:lang w:val="en-GB"/>
        </w:rPr>
        <w:t>Six-month sales hit new high of EUR 2.7 billion</w:t>
      </w:r>
    </w:p>
    <w:p w:rsidR="00BA53D0" w:rsidRPr="00BA53D0" w:rsidRDefault="00BA53D0" w:rsidP="00BA53D0">
      <w:pPr>
        <w:pStyle w:val="MMU2"/>
        <w:numPr>
          <w:ilvl w:val="0"/>
          <w:numId w:val="3"/>
        </w:numPr>
        <w:spacing w:after="0"/>
        <w:ind w:left="357" w:hanging="357"/>
        <w:rPr>
          <w:lang w:val="en-GB"/>
        </w:rPr>
      </w:pPr>
      <w:r w:rsidRPr="00BA53D0">
        <w:rPr>
          <w:lang w:val="en-GB"/>
        </w:rPr>
        <w:t xml:space="preserve">Adjusted EBIT up to EUR 128 million despite more R&amp;D spending </w:t>
      </w:r>
    </w:p>
    <w:p w:rsidR="00BA53D0" w:rsidRPr="00BA53D0" w:rsidRDefault="00BA53D0" w:rsidP="00BA53D0">
      <w:pPr>
        <w:pStyle w:val="MMU2"/>
        <w:numPr>
          <w:ilvl w:val="0"/>
          <w:numId w:val="3"/>
        </w:numPr>
        <w:spacing w:after="0"/>
        <w:ind w:left="357" w:hanging="357"/>
        <w:rPr>
          <w:lang w:val="en-GB"/>
        </w:rPr>
      </w:pPr>
      <w:r w:rsidRPr="00BA53D0">
        <w:rPr>
          <w:lang w:val="en-GB"/>
        </w:rPr>
        <w:t>Sales forecast for 2018 raised to at least EUR 5.1 billion</w:t>
      </w:r>
    </w:p>
    <w:p w:rsidR="00BA53D0" w:rsidRPr="00BA53D0" w:rsidRDefault="00BA53D0" w:rsidP="00BA53D0">
      <w:pPr>
        <w:pStyle w:val="MMVorspann"/>
        <w:spacing w:before="360"/>
        <w:rPr>
          <w:lang w:val="en-GB"/>
        </w:rPr>
      </w:pPr>
      <w:r w:rsidRPr="00BA53D0">
        <w:rPr>
          <w:lang w:val="en-GB"/>
        </w:rPr>
        <w:t>Nuremberg, 15 August 2018 – Leoni, a global provider of energy and data management solutions in the automotive sector and other industries, maintained its good business performance in the second quarter of 2018. Thanks to the still vibrant business with wiring systems, cable harnesses and special cables for the automotive industry, consolidated sales were up by 7 percent to EUR 1.3 billion in the period from April to June (Q2/2017: EUR 1.2 billion). The Company grew by 9 percent from its own resources. In the first six months, consolidated sales rose by 8 percent to a new half-year high of EUR 2.7 billion (H1/2017: EUR 2.5 billion). Sales performance has thus slightly exceeded expectations so far this year.</w:t>
      </w:r>
    </w:p>
    <w:p w:rsidR="00BA53D0" w:rsidRPr="00BA53D0" w:rsidRDefault="00BA53D0" w:rsidP="00CB2A91">
      <w:pPr>
        <w:pStyle w:val="MMFlietext"/>
        <w:rPr>
          <w:lang w:val="en-GB"/>
        </w:rPr>
      </w:pPr>
      <w:r w:rsidRPr="00BA53D0">
        <w:rPr>
          <w:lang w:val="en-GB"/>
        </w:rPr>
        <w:t xml:space="preserve">Earnings before interest and taxes (EBIT) amounted to EUR 62 million in the second quarter. The previous year’s high figure of EUR 87 million included non-recurring income of EUR 25 million </w:t>
      </w:r>
      <w:r w:rsidRPr="00CB2A91">
        <w:rPr>
          <w:lang w:val="en-GB"/>
        </w:rPr>
        <w:t xml:space="preserve">due </w:t>
      </w:r>
      <w:r w:rsidR="00A051C1" w:rsidRPr="00CB2A91">
        <w:rPr>
          <w:lang w:val="en-GB"/>
        </w:rPr>
        <w:t xml:space="preserve">to </w:t>
      </w:r>
      <w:r w:rsidRPr="00CB2A91">
        <w:rPr>
          <w:lang w:val="en-GB"/>
        </w:rPr>
        <w:t>having deconsolidated</w:t>
      </w:r>
      <w:r w:rsidRPr="00BA53D0">
        <w:rPr>
          <w:lang w:val="en-GB"/>
        </w:rPr>
        <w:t xml:space="preserve"> the disposed domestic and electrical appliance cables business. EBIT adjusted for all non-operating factors came to EUR 64 million in the second quarter (Q2/2017: EUR 65 million). EBIT amounted to EUR 125 million for the period from January to June 2018 (H1/2017: EUR 142 million); the adjusted figure was up by 7 percent to EUR 128 million (H1/2017: EUR 120 million), which corresponds to an adjusted EBIT margin of 4.8 percent (H1/2017: 4.9 percent).</w:t>
      </w:r>
    </w:p>
    <w:p w:rsidR="00BA53D0" w:rsidRPr="00BA53D0" w:rsidRDefault="00BA53D0" w:rsidP="00CB2A91">
      <w:pPr>
        <w:pStyle w:val="MMFlietext"/>
        <w:rPr>
          <w:lang w:val="en-GB"/>
        </w:rPr>
      </w:pPr>
      <w:r w:rsidRPr="00BA53D0">
        <w:rPr>
          <w:lang w:val="en-GB"/>
        </w:rPr>
        <w:t>To prepare for future growth and ongoing digitalization, Leoni spent EUR 70 million Group-wide in the second quarter (Q2/2017: EUR 69 million) on property plant and equipment as well as intangible assets. The focus was on new wiring systems plants, expanding special automotive cables production as well as the Factory of the Future in Roth, Germany. In total over the first half, capital investment was up 9 percent to EUR 127 million (H1/2017: EUR 116 million).</w:t>
      </w:r>
    </w:p>
    <w:p w:rsidR="00CB2A91" w:rsidRDefault="00CB2A91">
      <w:pPr>
        <w:rPr>
          <w:rFonts w:ascii="Arial" w:hAnsi="Arial" w:cs="Arial"/>
          <w:b/>
          <w:sz w:val="22"/>
          <w:szCs w:val="22"/>
          <w:lang w:val="en-GB"/>
        </w:rPr>
      </w:pPr>
      <w:r>
        <w:rPr>
          <w:lang w:val="en-GB"/>
        </w:rPr>
        <w:br w:type="page"/>
      </w:r>
    </w:p>
    <w:p w:rsidR="00BA53D0" w:rsidRPr="00BA53D0" w:rsidRDefault="00BA53D0" w:rsidP="00BA53D0">
      <w:pPr>
        <w:pStyle w:val="MMZwischenberschrift"/>
        <w:rPr>
          <w:lang w:val="en-GB"/>
        </w:rPr>
      </w:pPr>
      <w:r w:rsidRPr="00BA53D0">
        <w:rPr>
          <w:lang w:val="en-GB"/>
        </w:rPr>
        <w:t>Wiring Systems: better operating performance and capacity expansion</w:t>
      </w:r>
    </w:p>
    <w:p w:rsidR="00BA53D0" w:rsidRPr="00BA53D0" w:rsidRDefault="00BA53D0" w:rsidP="00CB2A91">
      <w:pPr>
        <w:pStyle w:val="MMFlietext"/>
        <w:rPr>
          <w:lang w:val="en-GB"/>
        </w:rPr>
      </w:pPr>
      <w:r w:rsidRPr="00BA53D0">
        <w:rPr>
          <w:lang w:val="en-GB"/>
        </w:rPr>
        <w:lastRenderedPageBreak/>
        <w:t>The Wiring Systems Division increased its sales by 6 percent to EUR 829 million in the second quarter (Q2/2017: EUR 780 million) and by more than 9 percent to EUR 1.7 billion in the first six months (</w:t>
      </w:r>
      <w:r w:rsidR="00E106FD">
        <w:rPr>
          <w:lang w:val="en-GB"/>
        </w:rPr>
        <w:t>H1</w:t>
      </w:r>
      <w:r w:rsidRPr="00BA53D0">
        <w:rPr>
          <w:lang w:val="en-GB"/>
        </w:rPr>
        <w:t xml:space="preserve">/2017: EUR 1.5 billion). Business with the European carmakers and the international commercial vehicle industry grew especially dynamically. The division’s EBIT rose from EUR 44 to 45 million quarter on quarter; in the first half, EBIT was up from EUR 70 to 87 million. The additional profit contributions from the sales growth and </w:t>
      </w:r>
      <w:r w:rsidR="005F180D">
        <w:rPr>
          <w:lang w:val="en-GB"/>
        </w:rPr>
        <w:t>b</w:t>
      </w:r>
      <w:r w:rsidRPr="00BA53D0">
        <w:rPr>
          <w:lang w:val="en-GB"/>
        </w:rPr>
        <w:t xml:space="preserve">enefits of having improved </w:t>
      </w:r>
      <w:r w:rsidR="005F180D">
        <w:rPr>
          <w:lang w:val="en-GB"/>
        </w:rPr>
        <w:t>the</w:t>
      </w:r>
      <w:r w:rsidRPr="00BA53D0">
        <w:rPr>
          <w:lang w:val="en-GB"/>
        </w:rPr>
        <w:t xml:space="preserve"> </w:t>
      </w:r>
      <w:r w:rsidR="005F180D">
        <w:rPr>
          <w:lang w:val="en-GB"/>
        </w:rPr>
        <w:t xml:space="preserve">operating </w:t>
      </w:r>
      <w:r w:rsidRPr="00BA53D0">
        <w:rPr>
          <w:lang w:val="en-GB"/>
        </w:rPr>
        <w:t xml:space="preserve">performance were offset by initial pre-production spending on extensive new customer projects. In the second quarter, Leoni opened its third wiring systems plant in Serbia and its second facility as part of the joint venture in </w:t>
      </w:r>
      <w:proofErr w:type="spellStart"/>
      <w:r w:rsidRPr="00BA53D0">
        <w:rPr>
          <w:lang w:val="en-GB"/>
        </w:rPr>
        <w:t>Langfang</w:t>
      </w:r>
      <w:proofErr w:type="spellEnd"/>
      <w:r w:rsidRPr="00BA53D0">
        <w:rPr>
          <w:lang w:val="en-GB"/>
        </w:rPr>
        <w:t xml:space="preserve">, China – the beginnings of a significant expansion of global production capacity: the completion of four more production facilities is scheduled for later this year. At the end of June, the division had orders worth EUR 21.2 billion on its books, of which electrically powered vehicles account for 20 or more percent.  </w:t>
      </w:r>
    </w:p>
    <w:p w:rsidR="00BA53D0" w:rsidRPr="00BA53D0" w:rsidRDefault="00BA53D0" w:rsidP="00BA53D0">
      <w:pPr>
        <w:pStyle w:val="MMZwischenberschrift"/>
        <w:rPr>
          <w:lang w:val="en-GB"/>
        </w:rPr>
      </w:pPr>
      <w:r w:rsidRPr="00BA53D0">
        <w:rPr>
          <w:lang w:val="en-GB"/>
        </w:rPr>
        <w:t xml:space="preserve">Wire &amp; Cable Solutions: sustained strong demand for special cables </w:t>
      </w:r>
    </w:p>
    <w:p w:rsidR="00BA53D0" w:rsidRPr="00BA53D0" w:rsidRDefault="00BA53D0" w:rsidP="00CB2A91">
      <w:pPr>
        <w:pStyle w:val="MMFlietext"/>
        <w:rPr>
          <w:lang w:val="en-GB"/>
        </w:rPr>
      </w:pPr>
      <w:r w:rsidRPr="00BA53D0">
        <w:rPr>
          <w:lang w:val="en-GB"/>
        </w:rPr>
        <w:t>The Wire &amp; Cable Solutions Division raised its sales by 8 percent to EUR 498 million between April and June (Q2/2017: EUR 462 million); over the whole of the first half it generated a 5 percent gain to EUR 983 million (H1/2017: EUR 937 million). Thanks to unabatedly heavy de</w:t>
      </w:r>
      <w:r w:rsidR="005F180D">
        <w:rPr>
          <w:lang w:val="en-GB"/>
        </w:rPr>
        <w:t xml:space="preserve">mand for special cables for the </w:t>
      </w:r>
      <w:r w:rsidRPr="00BA53D0">
        <w:rPr>
          <w:lang w:val="en-GB"/>
        </w:rPr>
        <w:t xml:space="preserve">automotive industry as well as for cables and solutions for factory automation, the division substantially overcompensated for the absence of sales due to its disposal of the domestic and electrical appliance cables business. By contrast, business with the solar and petrochemical industries continued to disappoint, which, together with start-up costs at our facility in India and high raw materials prices, weighed on earnings: EBIT for the quarter amounted to EUR 17 million, whereas the previous year’s comparison figure of EUR 43 million included the aforementioned gain of EUR 25 million on deconsolidation. For the period from January to June, the division’s EBIT totalled EUR 38 million (H1/2017: EUR 68 million). The division’s order receipts were up by 5 percent to EUR 487 million from April to June 2018 (Q2/2017: EUR 464 million).  </w:t>
      </w:r>
    </w:p>
    <w:p w:rsidR="00BA53D0" w:rsidRPr="00BA53D0" w:rsidRDefault="005F180D" w:rsidP="00BA53D0">
      <w:pPr>
        <w:pStyle w:val="MMZwischenberschrift"/>
        <w:rPr>
          <w:lang w:val="en-GB"/>
        </w:rPr>
      </w:pPr>
      <w:r>
        <w:rPr>
          <w:lang w:val="en-GB"/>
        </w:rPr>
        <w:lastRenderedPageBreak/>
        <w:t>F</w:t>
      </w:r>
      <w:r w:rsidR="00BA53D0" w:rsidRPr="00BA53D0">
        <w:rPr>
          <w:lang w:val="en-GB"/>
        </w:rPr>
        <w:t>orecast raised</w:t>
      </w:r>
      <w:r>
        <w:rPr>
          <w:lang w:val="en-GB"/>
        </w:rPr>
        <w:t xml:space="preserve">: Sales will be up </w:t>
      </w:r>
      <w:r w:rsidR="00BA53D0" w:rsidRPr="00BA53D0">
        <w:rPr>
          <w:lang w:val="en-GB"/>
        </w:rPr>
        <w:t xml:space="preserve">to at least EUR 5.1 billion  </w:t>
      </w:r>
    </w:p>
    <w:p w:rsidR="0065356D" w:rsidRDefault="00BA53D0" w:rsidP="00CB2A91">
      <w:pPr>
        <w:pStyle w:val="MMFlietext"/>
        <w:rPr>
          <w:lang w:val="en-GB"/>
        </w:rPr>
      </w:pPr>
      <w:r w:rsidRPr="00BA53D0">
        <w:rPr>
          <w:lang w:val="en-GB"/>
        </w:rPr>
        <w:t xml:space="preserve">“We generated more sales in the first half than we expected at the beginning of the year, due mainly to the higher price of copper. We therefore now project that 2018 consolidated sales will be up to at least EUR 5.1 billion,” said Karl </w:t>
      </w:r>
      <w:proofErr w:type="spellStart"/>
      <w:r w:rsidRPr="00BA53D0">
        <w:rPr>
          <w:lang w:val="en-GB"/>
        </w:rPr>
        <w:t>Gadesmann</w:t>
      </w:r>
      <w:proofErr w:type="spellEnd"/>
      <w:r w:rsidRPr="00BA53D0">
        <w:rPr>
          <w:lang w:val="en-GB"/>
        </w:rPr>
        <w:t>, CFO and Spokesperson for the Board of Directors of Leoni AG. The previous estimate was at least EUR 5.0 billion (2017: EUR 4.9 billion). With respect to consolidated EBIT, Leoni still forecasts a range of between EUR 215 and 235 million. The earnings contribution is therefore expected to be smaller in the second half, above all because of rising pre-production spending on new wiring system projects. The full-year target reflects the considerably better quality of operating earnings than in the previous year (EUR 225 million), which included non-recurring income of EUR 30 million</w:t>
      </w:r>
      <w:r w:rsidR="0065356D">
        <w:rPr>
          <w:lang w:val="en-GB"/>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B17B44">
        <w:rPr>
          <w:rFonts w:ascii="Arial" w:hAnsi="Arial" w:cs="Arial"/>
          <w:i/>
          <w:sz w:val="22"/>
          <w:szCs w:val="22"/>
          <w:lang w:val="en-GB"/>
        </w:rPr>
        <w:t>5,41</w:t>
      </w:r>
      <w:r w:rsidR="00CB2A91">
        <w:rPr>
          <w:rFonts w:ascii="Arial" w:hAnsi="Arial" w:cs="Arial"/>
          <w:i/>
          <w:sz w:val="22"/>
          <w:szCs w:val="22"/>
          <w:lang w:val="en-GB"/>
        </w:rPr>
        <w:t>1</w:t>
      </w:r>
      <w:r w:rsidRPr="0065356D">
        <w:rPr>
          <w:rFonts w:ascii="Arial" w:hAnsi="Arial" w:cs="Arial"/>
          <w:i/>
          <w:sz w:val="22"/>
          <w:szCs w:val="22"/>
          <w:lang w:val="en-GB"/>
        </w:rPr>
        <w:t xml:space="preserve"> characters </w:t>
      </w:r>
      <w:r w:rsidR="00C76F85">
        <w:rPr>
          <w:rFonts w:ascii="Arial" w:hAnsi="Arial" w:cs="Arial"/>
          <w:i/>
          <w:sz w:val="22"/>
          <w:szCs w:val="22"/>
          <w:lang w:val="en-GB"/>
        </w:rPr>
        <w:t>with spaces</w:t>
      </w:r>
      <w:r w:rsidRPr="0065356D">
        <w:rPr>
          <w:rFonts w:ascii="Arial" w:hAnsi="Arial" w:cs="Arial"/>
          <w:i/>
          <w:sz w:val="22"/>
          <w:szCs w:val="22"/>
          <w:lang w:val="en-GB"/>
        </w:rPr>
        <w:t>)</w:t>
      </w:r>
    </w:p>
    <w:p w:rsidR="00F76833" w:rsidRDefault="00601C51" w:rsidP="0065356D">
      <w:pPr>
        <w:spacing w:before="120"/>
        <w:ind w:right="1852"/>
        <w:rPr>
          <w:rStyle w:val="Hyperlink"/>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7" w:history="1">
        <w:r w:rsidR="00B17B44" w:rsidRPr="00103E79">
          <w:rPr>
            <w:rStyle w:val="Hyperlink"/>
            <w:rFonts w:ascii="Arial" w:hAnsi="Arial" w:cs="Arial"/>
            <w:i/>
            <w:sz w:val="22"/>
            <w:szCs w:val="22"/>
            <w:lang w:val="en-GB"/>
          </w:rPr>
          <w:t>https://www.leoni.com/en/press/releases/details/leoni-raises-sales-forecast-following-good-performance-in-the-1st-half/</w:t>
        </w:r>
      </w:hyperlink>
    </w:p>
    <w:p w:rsidR="00B17B44" w:rsidRPr="00FC1465" w:rsidRDefault="00B17B44" w:rsidP="00B17B44">
      <w:pPr>
        <w:ind w:right="1922"/>
        <w:rPr>
          <w:rFonts w:ascii="Arial" w:hAnsi="Arial" w:cs="Arial"/>
          <w:i/>
          <w:sz w:val="22"/>
          <w:szCs w:val="22"/>
          <w:lang w:val="en-GB"/>
        </w:rPr>
      </w:pPr>
      <w:r w:rsidRPr="00D61CCE">
        <w:rPr>
          <w:rFonts w:ascii="Arial" w:hAnsi="Arial"/>
          <w:sz w:val="36"/>
          <w:szCs w:val="36"/>
          <w:lang w:val="en-GB"/>
        </w:rPr>
        <w:sym w:font="Wingdings" w:char="F046"/>
      </w:r>
      <w:r w:rsidRPr="00D61CCE">
        <w:rPr>
          <w:rFonts w:ascii="Arial" w:hAnsi="Arial"/>
          <w:i/>
          <w:sz w:val="20"/>
          <w:lang w:val="en-GB"/>
        </w:rPr>
        <w:t xml:space="preserve"> </w:t>
      </w:r>
      <w:r w:rsidRPr="00D61CCE">
        <w:rPr>
          <w:rFonts w:ascii="Arial" w:hAnsi="Arial"/>
          <w:i/>
          <w:sz w:val="22"/>
          <w:szCs w:val="22"/>
          <w:lang w:val="en-GB"/>
        </w:rPr>
        <w:t xml:space="preserve">The complete </w:t>
      </w:r>
      <w:r>
        <w:rPr>
          <w:rFonts w:ascii="Arial" w:hAnsi="Arial"/>
          <w:i/>
          <w:sz w:val="22"/>
          <w:szCs w:val="22"/>
          <w:lang w:val="en-GB"/>
        </w:rPr>
        <w:t xml:space="preserve">quarterly </w:t>
      </w:r>
      <w:r w:rsidRPr="00D61CCE">
        <w:rPr>
          <w:rFonts w:ascii="Arial" w:hAnsi="Arial"/>
          <w:i/>
          <w:sz w:val="22"/>
          <w:szCs w:val="22"/>
          <w:lang w:val="en-GB"/>
        </w:rPr>
        <w:t xml:space="preserve">report can be downloaded from </w:t>
      </w:r>
      <w:hyperlink r:id="rId8" w:history="1">
        <w:r w:rsidRPr="00D61CCE">
          <w:rPr>
            <w:rStyle w:val="Hyperlink"/>
            <w:rFonts w:ascii="Arial" w:hAnsi="Arial" w:cs="Arial"/>
            <w:i/>
            <w:sz w:val="22"/>
            <w:szCs w:val="22"/>
            <w:lang w:val="en-GB"/>
          </w:rPr>
          <w:t>www.leoni.com/en/financial-publications/</w:t>
        </w:r>
      </w:hyperlink>
    </w:p>
    <w:p w:rsidR="00BA53D0" w:rsidRDefault="00BA53D0" w:rsidP="00BA53D0">
      <w:pPr>
        <w:pStyle w:val="MMKurzprofilberschrift"/>
      </w:pPr>
      <w:r>
        <w:t xml:space="preserve">Leoni </w:t>
      </w:r>
      <w:proofErr w:type="spellStart"/>
      <w:r>
        <w:t>performance</w:t>
      </w:r>
      <w:proofErr w:type="spellEnd"/>
      <w:r>
        <w:t xml:space="preserve"> </w:t>
      </w:r>
      <w:proofErr w:type="spellStart"/>
      <w:r>
        <w:t>overview</w:t>
      </w:r>
      <w:proofErr w:type="spellEnd"/>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3114"/>
        <w:gridCol w:w="907"/>
        <w:gridCol w:w="907"/>
        <w:gridCol w:w="964"/>
        <w:gridCol w:w="907"/>
        <w:gridCol w:w="907"/>
        <w:gridCol w:w="964"/>
      </w:tblGrid>
      <w:tr w:rsidR="00BA53D0" w:rsidTr="00B523C3">
        <w:trPr>
          <w:trHeight w:val="300"/>
        </w:trPr>
        <w:tc>
          <w:tcPr>
            <w:tcW w:w="3114" w:type="dxa"/>
            <w:shd w:val="clear" w:color="auto" w:fill="auto"/>
            <w:noWrap/>
            <w:vAlign w:val="bottom"/>
            <w:hideMark/>
          </w:tcPr>
          <w:p w:rsidR="00BA53D0" w:rsidRDefault="00DF1AB1" w:rsidP="00B523C3">
            <w:pPr>
              <w:rPr>
                <w:rFonts w:ascii="Arial" w:hAnsi="Arial" w:cs="Arial"/>
                <w:i/>
                <w:iCs/>
                <w:color w:val="000000"/>
                <w:sz w:val="20"/>
                <w:szCs w:val="20"/>
              </w:rPr>
            </w:pPr>
            <w:r w:rsidRPr="00D61CCE">
              <w:rPr>
                <w:rFonts w:ascii="Arial" w:hAnsi="Arial" w:cs="Arial"/>
                <w:b/>
                <w:sz w:val="18"/>
                <w:szCs w:val="18"/>
                <w:lang w:val="en-GB"/>
              </w:rPr>
              <w:t>Group key figures</w:t>
            </w:r>
          </w:p>
        </w:tc>
        <w:tc>
          <w:tcPr>
            <w:tcW w:w="907" w:type="dxa"/>
            <w:shd w:val="clear" w:color="auto" w:fill="auto"/>
            <w:noWrap/>
            <w:vAlign w:val="bottom"/>
            <w:hideMark/>
          </w:tcPr>
          <w:p w:rsidR="00BA53D0" w:rsidRPr="002441DF" w:rsidRDefault="00BA53D0" w:rsidP="00B523C3">
            <w:pPr>
              <w:jc w:val="center"/>
              <w:rPr>
                <w:rFonts w:ascii="Arial" w:hAnsi="Arial" w:cs="Arial"/>
                <w:b/>
                <w:bCs/>
                <w:color w:val="000000"/>
                <w:sz w:val="18"/>
                <w:szCs w:val="18"/>
              </w:rPr>
            </w:pPr>
            <w:r>
              <w:rPr>
                <w:rFonts w:ascii="Arial" w:hAnsi="Arial"/>
                <w:b/>
                <w:bCs/>
                <w:color w:val="000000"/>
                <w:sz w:val="18"/>
                <w:szCs w:val="18"/>
              </w:rPr>
              <w:t>Q2/2018</w:t>
            </w:r>
          </w:p>
        </w:tc>
        <w:tc>
          <w:tcPr>
            <w:tcW w:w="907" w:type="dxa"/>
            <w:shd w:val="clear" w:color="auto" w:fill="auto"/>
            <w:noWrap/>
            <w:vAlign w:val="bottom"/>
            <w:hideMark/>
          </w:tcPr>
          <w:p w:rsidR="00BA53D0" w:rsidRPr="002441DF" w:rsidRDefault="00BA53D0" w:rsidP="00837F64">
            <w:pPr>
              <w:jc w:val="center"/>
              <w:rPr>
                <w:rFonts w:ascii="Arial" w:hAnsi="Arial" w:cs="Arial"/>
                <w:b/>
                <w:bCs/>
                <w:color w:val="000000"/>
                <w:sz w:val="18"/>
                <w:szCs w:val="18"/>
              </w:rPr>
            </w:pPr>
            <w:r>
              <w:rPr>
                <w:rFonts w:ascii="Arial" w:hAnsi="Arial"/>
                <w:b/>
                <w:bCs/>
                <w:color w:val="000000"/>
                <w:sz w:val="18"/>
                <w:szCs w:val="18"/>
              </w:rPr>
              <w:t>Q2/2017</w:t>
            </w:r>
            <w:r w:rsidR="00837F64" w:rsidRPr="00837F64">
              <w:rPr>
                <w:rFonts w:ascii="Arial" w:hAnsi="Arial"/>
                <w:b/>
                <w:bCs/>
                <w:color w:val="000000"/>
                <w:sz w:val="18"/>
                <w:szCs w:val="18"/>
                <w:vertAlign w:val="superscript"/>
              </w:rPr>
              <w:t>(</w:t>
            </w:r>
            <w:r w:rsidRPr="00837F64">
              <w:rPr>
                <w:rFonts w:ascii="Arial" w:hAnsi="Arial"/>
                <w:b/>
                <w:bCs/>
                <w:color w:val="000000"/>
                <w:sz w:val="18"/>
                <w:szCs w:val="18"/>
                <w:vertAlign w:val="superscript"/>
              </w:rPr>
              <w:t>²</w:t>
            </w:r>
            <w:r w:rsidR="00837F64" w:rsidRPr="00837F64">
              <w:rPr>
                <w:rFonts w:ascii="Arial" w:hAnsi="Arial"/>
                <w:b/>
                <w:bCs/>
                <w:color w:val="000000"/>
                <w:sz w:val="18"/>
                <w:szCs w:val="18"/>
                <w:vertAlign w:val="superscript"/>
              </w:rPr>
              <w:t>)</w:t>
            </w:r>
          </w:p>
        </w:tc>
        <w:tc>
          <w:tcPr>
            <w:tcW w:w="964" w:type="dxa"/>
            <w:shd w:val="clear" w:color="auto" w:fill="auto"/>
            <w:noWrap/>
            <w:vAlign w:val="bottom"/>
            <w:hideMark/>
          </w:tcPr>
          <w:p w:rsidR="00BA53D0" w:rsidRPr="002441DF" w:rsidRDefault="00BA53D0" w:rsidP="00BA53D0">
            <w:pPr>
              <w:jc w:val="center"/>
              <w:rPr>
                <w:rFonts w:ascii="Arial" w:hAnsi="Arial" w:cs="Arial"/>
                <w:b/>
                <w:bCs/>
                <w:color w:val="000000"/>
                <w:sz w:val="18"/>
                <w:szCs w:val="18"/>
              </w:rPr>
            </w:pPr>
            <w:r>
              <w:rPr>
                <w:rFonts w:ascii="Arial" w:hAnsi="Arial"/>
                <w:b/>
                <w:bCs/>
                <w:color w:val="000000"/>
                <w:sz w:val="18"/>
                <w:szCs w:val="18"/>
              </w:rPr>
              <w:t>Change</w:t>
            </w:r>
          </w:p>
        </w:tc>
        <w:tc>
          <w:tcPr>
            <w:tcW w:w="907" w:type="dxa"/>
            <w:shd w:val="clear" w:color="auto" w:fill="auto"/>
            <w:noWrap/>
            <w:vAlign w:val="bottom"/>
            <w:hideMark/>
          </w:tcPr>
          <w:p w:rsidR="00BA53D0" w:rsidRPr="002441DF" w:rsidRDefault="00BA53D0" w:rsidP="00B523C3">
            <w:pPr>
              <w:jc w:val="center"/>
              <w:rPr>
                <w:rFonts w:ascii="Arial" w:hAnsi="Arial" w:cs="Arial"/>
                <w:b/>
                <w:bCs/>
                <w:color w:val="000000"/>
                <w:sz w:val="18"/>
                <w:szCs w:val="18"/>
              </w:rPr>
            </w:pPr>
            <w:r>
              <w:rPr>
                <w:rFonts w:ascii="Arial" w:hAnsi="Arial"/>
                <w:b/>
                <w:bCs/>
                <w:color w:val="000000"/>
                <w:sz w:val="18"/>
                <w:szCs w:val="18"/>
              </w:rPr>
              <w:t>H1/2018</w:t>
            </w:r>
          </w:p>
        </w:tc>
        <w:tc>
          <w:tcPr>
            <w:tcW w:w="907" w:type="dxa"/>
            <w:shd w:val="clear" w:color="auto" w:fill="auto"/>
            <w:noWrap/>
            <w:vAlign w:val="bottom"/>
            <w:hideMark/>
          </w:tcPr>
          <w:p w:rsidR="00BA53D0" w:rsidRPr="002441DF" w:rsidRDefault="00BA53D0" w:rsidP="00B523C3">
            <w:pPr>
              <w:jc w:val="center"/>
              <w:rPr>
                <w:rFonts w:ascii="Arial" w:hAnsi="Arial" w:cs="Arial"/>
                <w:b/>
                <w:bCs/>
                <w:color w:val="000000"/>
                <w:sz w:val="18"/>
                <w:szCs w:val="18"/>
              </w:rPr>
            </w:pPr>
            <w:r>
              <w:rPr>
                <w:rFonts w:ascii="Arial" w:hAnsi="Arial"/>
                <w:b/>
                <w:bCs/>
                <w:color w:val="000000"/>
                <w:sz w:val="18"/>
                <w:szCs w:val="18"/>
              </w:rPr>
              <w:t>H1/2017</w:t>
            </w:r>
            <w:r w:rsidR="00837F64" w:rsidRPr="00837F64">
              <w:rPr>
                <w:rFonts w:ascii="Arial" w:hAnsi="Arial"/>
                <w:b/>
                <w:bCs/>
                <w:color w:val="000000"/>
                <w:sz w:val="18"/>
                <w:szCs w:val="18"/>
                <w:vertAlign w:val="superscript"/>
              </w:rPr>
              <w:t>(²)</w:t>
            </w:r>
          </w:p>
        </w:tc>
        <w:tc>
          <w:tcPr>
            <w:tcW w:w="964" w:type="dxa"/>
            <w:shd w:val="clear" w:color="auto" w:fill="auto"/>
            <w:noWrap/>
            <w:vAlign w:val="bottom"/>
            <w:hideMark/>
          </w:tcPr>
          <w:p w:rsidR="00BA53D0" w:rsidRPr="002441DF" w:rsidRDefault="00BA53D0" w:rsidP="00BA53D0">
            <w:pPr>
              <w:jc w:val="center"/>
              <w:rPr>
                <w:rFonts w:ascii="Arial" w:hAnsi="Arial" w:cs="Arial"/>
                <w:b/>
                <w:bCs/>
                <w:color w:val="000000"/>
                <w:sz w:val="18"/>
                <w:szCs w:val="18"/>
              </w:rPr>
            </w:pPr>
            <w:r>
              <w:rPr>
                <w:rFonts w:ascii="Arial" w:hAnsi="Arial"/>
                <w:b/>
                <w:bCs/>
                <w:color w:val="000000"/>
                <w:sz w:val="18"/>
                <w:szCs w:val="18"/>
              </w:rPr>
              <w:t>Change</w:t>
            </w:r>
          </w:p>
        </w:tc>
      </w:tr>
      <w:tr w:rsidR="00BA53D0" w:rsidTr="00B523C3">
        <w:trPr>
          <w:trHeight w:val="255"/>
        </w:trPr>
        <w:tc>
          <w:tcPr>
            <w:tcW w:w="3114" w:type="dxa"/>
            <w:noWrap/>
            <w:vAlign w:val="center"/>
            <w:hideMark/>
          </w:tcPr>
          <w:p w:rsidR="00BA53D0" w:rsidRPr="00837F64" w:rsidRDefault="00837F64" w:rsidP="00DF1AB1">
            <w:pPr>
              <w:rPr>
                <w:rFonts w:ascii="Arial" w:hAnsi="Arial" w:cs="Arial"/>
                <w:color w:val="000000"/>
                <w:sz w:val="20"/>
                <w:szCs w:val="20"/>
                <w:lang w:val="en-GB"/>
              </w:rPr>
            </w:pPr>
            <w:r w:rsidRPr="00837F64">
              <w:rPr>
                <w:rFonts w:ascii="Arial" w:hAnsi="Arial"/>
                <w:sz w:val="18"/>
                <w:lang w:val="en-GB"/>
              </w:rPr>
              <w:t>S</w:t>
            </w:r>
            <w:r w:rsidR="00DF1AB1" w:rsidRPr="00837F64">
              <w:rPr>
                <w:rFonts w:ascii="Arial" w:hAnsi="Arial"/>
                <w:sz w:val="18"/>
                <w:lang w:val="en-GB"/>
              </w:rPr>
              <w:t>ales [€ million]</w:t>
            </w:r>
          </w:p>
        </w:tc>
        <w:tc>
          <w:tcPr>
            <w:tcW w:w="907" w:type="dxa"/>
            <w:shd w:val="clear" w:color="auto" w:fill="auto"/>
            <w:noWrap/>
            <w:vAlign w:val="bottom"/>
            <w:hideMark/>
          </w:tcPr>
          <w:p w:rsidR="00BA53D0" w:rsidRPr="002441DF" w:rsidRDefault="00BA53D0" w:rsidP="00837F64">
            <w:pPr>
              <w:jc w:val="right"/>
              <w:rPr>
                <w:rFonts w:ascii="Arial" w:hAnsi="Arial" w:cs="Arial"/>
                <w:bCs/>
                <w:color w:val="000000"/>
                <w:sz w:val="18"/>
                <w:szCs w:val="18"/>
              </w:rPr>
            </w:pPr>
            <w:r>
              <w:rPr>
                <w:rFonts w:ascii="Arial" w:hAnsi="Arial"/>
                <w:bCs/>
                <w:color w:val="000000"/>
                <w:sz w:val="18"/>
                <w:szCs w:val="18"/>
              </w:rPr>
              <w:t>1</w:t>
            </w:r>
            <w:r w:rsidR="00837F64">
              <w:rPr>
                <w:rFonts w:ascii="Arial" w:hAnsi="Arial"/>
                <w:bCs/>
                <w:color w:val="000000"/>
                <w:sz w:val="18"/>
                <w:szCs w:val="18"/>
              </w:rPr>
              <w:t>,</w:t>
            </w:r>
            <w:r>
              <w:rPr>
                <w:rFonts w:ascii="Arial" w:hAnsi="Arial"/>
                <w:bCs/>
                <w:color w:val="000000"/>
                <w:sz w:val="18"/>
                <w:szCs w:val="18"/>
              </w:rPr>
              <w:t>326</w:t>
            </w:r>
          </w:p>
        </w:tc>
        <w:tc>
          <w:tcPr>
            <w:tcW w:w="907" w:type="dxa"/>
            <w:shd w:val="clear" w:color="auto" w:fill="auto"/>
            <w:noWrap/>
            <w:vAlign w:val="bottom"/>
            <w:hideMark/>
          </w:tcPr>
          <w:p w:rsidR="00BA53D0" w:rsidRPr="002441DF" w:rsidRDefault="00BA53D0" w:rsidP="00837F64">
            <w:pPr>
              <w:jc w:val="right"/>
              <w:rPr>
                <w:rFonts w:ascii="Arial" w:hAnsi="Arial" w:cs="Arial"/>
                <w:color w:val="000000"/>
                <w:sz w:val="18"/>
                <w:szCs w:val="18"/>
              </w:rPr>
            </w:pPr>
            <w:r>
              <w:rPr>
                <w:rFonts w:ascii="Arial" w:hAnsi="Arial"/>
                <w:color w:val="000000"/>
                <w:sz w:val="18"/>
                <w:szCs w:val="18"/>
              </w:rPr>
              <w:t>1</w:t>
            </w:r>
            <w:r w:rsidR="00837F64">
              <w:rPr>
                <w:rFonts w:ascii="Arial" w:hAnsi="Arial"/>
                <w:color w:val="000000"/>
                <w:sz w:val="18"/>
                <w:szCs w:val="18"/>
              </w:rPr>
              <w:t>,</w:t>
            </w:r>
            <w:r>
              <w:rPr>
                <w:rFonts w:ascii="Arial" w:hAnsi="Arial"/>
                <w:color w:val="000000"/>
                <w:sz w:val="18"/>
                <w:szCs w:val="18"/>
              </w:rPr>
              <w:t>242</w:t>
            </w:r>
          </w:p>
        </w:tc>
        <w:tc>
          <w:tcPr>
            <w:tcW w:w="964" w:type="dxa"/>
            <w:shd w:val="clear" w:color="auto" w:fill="auto"/>
            <w:noWrap/>
            <w:vAlign w:val="bottom"/>
            <w:hideMark/>
          </w:tcPr>
          <w:p w:rsidR="00BA53D0" w:rsidRPr="002441DF" w:rsidRDefault="00BA53D0" w:rsidP="00837F64">
            <w:pPr>
              <w:jc w:val="right"/>
              <w:rPr>
                <w:rFonts w:ascii="Arial" w:hAnsi="Arial" w:cs="Arial"/>
                <w:color w:val="000000"/>
                <w:sz w:val="18"/>
                <w:szCs w:val="18"/>
              </w:rPr>
            </w:pPr>
            <w:r>
              <w:rPr>
                <w:rFonts w:ascii="Arial" w:hAnsi="Arial"/>
                <w:color w:val="000000"/>
                <w:sz w:val="18"/>
                <w:szCs w:val="18"/>
              </w:rPr>
              <w:t>6</w:t>
            </w:r>
            <w:r w:rsidR="00837F64">
              <w:rPr>
                <w:rFonts w:ascii="Arial" w:hAnsi="Arial"/>
                <w:color w:val="000000"/>
                <w:sz w:val="18"/>
                <w:szCs w:val="18"/>
              </w:rPr>
              <w:t>.</w:t>
            </w:r>
            <w:r>
              <w:rPr>
                <w:rFonts w:ascii="Arial" w:hAnsi="Arial"/>
                <w:color w:val="000000"/>
                <w:sz w:val="18"/>
                <w:szCs w:val="18"/>
              </w:rPr>
              <w:t>8%</w:t>
            </w:r>
          </w:p>
        </w:tc>
        <w:tc>
          <w:tcPr>
            <w:tcW w:w="907" w:type="dxa"/>
            <w:shd w:val="clear" w:color="auto" w:fill="auto"/>
            <w:noWrap/>
            <w:vAlign w:val="bottom"/>
            <w:hideMark/>
          </w:tcPr>
          <w:p w:rsidR="00BA53D0" w:rsidRPr="002441DF" w:rsidRDefault="00BA53D0" w:rsidP="00837F64">
            <w:pPr>
              <w:jc w:val="right"/>
              <w:rPr>
                <w:rFonts w:ascii="Arial" w:hAnsi="Arial" w:cs="Arial"/>
                <w:bCs/>
                <w:color w:val="000000"/>
                <w:sz w:val="18"/>
                <w:szCs w:val="18"/>
              </w:rPr>
            </w:pPr>
            <w:r>
              <w:rPr>
                <w:rFonts w:ascii="Arial" w:hAnsi="Arial"/>
                <w:bCs/>
                <w:color w:val="000000"/>
                <w:sz w:val="18"/>
                <w:szCs w:val="18"/>
              </w:rPr>
              <w:t>2</w:t>
            </w:r>
            <w:r w:rsidR="00837F64">
              <w:rPr>
                <w:rFonts w:ascii="Arial" w:hAnsi="Arial"/>
                <w:bCs/>
                <w:color w:val="000000"/>
                <w:sz w:val="18"/>
                <w:szCs w:val="18"/>
              </w:rPr>
              <w:t>,</w:t>
            </w:r>
            <w:r>
              <w:rPr>
                <w:rFonts w:ascii="Arial" w:hAnsi="Arial"/>
                <w:bCs/>
                <w:color w:val="000000"/>
                <w:sz w:val="18"/>
                <w:szCs w:val="18"/>
              </w:rPr>
              <w:t>654</w:t>
            </w:r>
          </w:p>
        </w:tc>
        <w:tc>
          <w:tcPr>
            <w:tcW w:w="907" w:type="dxa"/>
            <w:shd w:val="clear" w:color="auto" w:fill="auto"/>
            <w:noWrap/>
            <w:vAlign w:val="bottom"/>
            <w:hideMark/>
          </w:tcPr>
          <w:p w:rsidR="00BA53D0" w:rsidRPr="002441DF" w:rsidRDefault="00BA53D0" w:rsidP="00837F64">
            <w:pPr>
              <w:jc w:val="right"/>
              <w:rPr>
                <w:rFonts w:ascii="Arial" w:hAnsi="Arial" w:cs="Arial"/>
                <w:bCs/>
                <w:color w:val="000000"/>
                <w:sz w:val="18"/>
                <w:szCs w:val="18"/>
              </w:rPr>
            </w:pPr>
            <w:r>
              <w:rPr>
                <w:rFonts w:ascii="Arial" w:hAnsi="Arial"/>
                <w:bCs/>
                <w:color w:val="000000"/>
                <w:sz w:val="18"/>
                <w:szCs w:val="18"/>
              </w:rPr>
              <w:t>2</w:t>
            </w:r>
            <w:r w:rsidR="00837F64">
              <w:rPr>
                <w:rFonts w:ascii="Arial" w:hAnsi="Arial"/>
                <w:bCs/>
                <w:color w:val="000000"/>
                <w:sz w:val="18"/>
                <w:szCs w:val="18"/>
              </w:rPr>
              <w:t>,</w:t>
            </w:r>
            <w:r>
              <w:rPr>
                <w:rFonts w:ascii="Arial" w:hAnsi="Arial"/>
                <w:bCs/>
                <w:color w:val="000000"/>
                <w:sz w:val="18"/>
                <w:szCs w:val="18"/>
              </w:rPr>
              <w:t>464</w:t>
            </w:r>
          </w:p>
        </w:tc>
        <w:tc>
          <w:tcPr>
            <w:tcW w:w="964" w:type="dxa"/>
            <w:shd w:val="clear" w:color="auto" w:fill="auto"/>
            <w:noWrap/>
            <w:vAlign w:val="bottom"/>
            <w:hideMark/>
          </w:tcPr>
          <w:p w:rsidR="00BA53D0" w:rsidRPr="002441DF" w:rsidRDefault="00BA53D0" w:rsidP="00837F64">
            <w:pPr>
              <w:jc w:val="right"/>
              <w:rPr>
                <w:rFonts w:ascii="Arial" w:hAnsi="Arial" w:cs="Arial"/>
                <w:bCs/>
                <w:color w:val="000000"/>
                <w:sz w:val="18"/>
                <w:szCs w:val="18"/>
              </w:rPr>
            </w:pPr>
            <w:r>
              <w:rPr>
                <w:rFonts w:ascii="Arial" w:hAnsi="Arial"/>
                <w:bCs/>
                <w:color w:val="000000"/>
                <w:sz w:val="18"/>
                <w:szCs w:val="18"/>
              </w:rPr>
              <w:t>7</w:t>
            </w:r>
            <w:r w:rsidR="00837F64">
              <w:rPr>
                <w:rFonts w:ascii="Arial" w:hAnsi="Arial"/>
                <w:bCs/>
                <w:color w:val="000000"/>
                <w:sz w:val="18"/>
                <w:szCs w:val="18"/>
              </w:rPr>
              <w:t>.</w:t>
            </w:r>
            <w:r>
              <w:rPr>
                <w:rFonts w:ascii="Arial" w:hAnsi="Arial"/>
                <w:bCs/>
                <w:color w:val="000000"/>
                <w:sz w:val="18"/>
                <w:szCs w:val="18"/>
              </w:rPr>
              <w:t>7%</w:t>
            </w:r>
          </w:p>
        </w:tc>
      </w:tr>
      <w:tr w:rsidR="00BA53D0" w:rsidRPr="00837F64" w:rsidTr="00B523C3">
        <w:trPr>
          <w:trHeight w:val="255"/>
        </w:trPr>
        <w:tc>
          <w:tcPr>
            <w:tcW w:w="3114" w:type="dxa"/>
            <w:noWrap/>
            <w:vAlign w:val="center"/>
            <w:hideMark/>
          </w:tcPr>
          <w:p w:rsidR="00BA53D0" w:rsidRPr="00837F64" w:rsidRDefault="00BA53D0" w:rsidP="00837F64">
            <w:pPr>
              <w:rPr>
                <w:rFonts w:ascii="Arial" w:hAnsi="Arial" w:cs="Arial"/>
                <w:color w:val="000000"/>
                <w:sz w:val="20"/>
                <w:szCs w:val="20"/>
                <w:lang w:val="en-GB"/>
              </w:rPr>
            </w:pPr>
            <w:r w:rsidRPr="00837F64">
              <w:rPr>
                <w:rFonts w:ascii="Arial" w:hAnsi="Arial"/>
                <w:sz w:val="18"/>
                <w:szCs w:val="18"/>
                <w:lang w:val="en-GB"/>
              </w:rPr>
              <w:t>EBITDA [€</w:t>
            </w:r>
            <w:r w:rsidR="00DF1AB1" w:rsidRPr="00837F64">
              <w:rPr>
                <w:rFonts w:ascii="Arial" w:hAnsi="Arial"/>
                <w:sz w:val="18"/>
                <w:szCs w:val="18"/>
                <w:lang w:val="en-GB"/>
              </w:rPr>
              <w:t xml:space="preserve"> mil</w:t>
            </w:r>
            <w:r w:rsidR="00837F64" w:rsidRPr="00837F64">
              <w:rPr>
                <w:rFonts w:ascii="Arial" w:hAnsi="Arial"/>
                <w:sz w:val="18"/>
                <w:szCs w:val="18"/>
                <w:lang w:val="en-GB"/>
              </w:rPr>
              <w:t>l</w:t>
            </w:r>
            <w:r w:rsidR="00DF1AB1" w:rsidRPr="00837F64">
              <w:rPr>
                <w:rFonts w:ascii="Arial" w:hAnsi="Arial"/>
                <w:sz w:val="18"/>
                <w:szCs w:val="18"/>
                <w:lang w:val="en-GB"/>
              </w:rPr>
              <w:t>ion</w:t>
            </w:r>
            <w:r w:rsidRPr="00837F64">
              <w:rPr>
                <w:rFonts w:ascii="Arial" w:hAnsi="Arial"/>
                <w:sz w:val="18"/>
                <w:szCs w:val="18"/>
                <w:lang w:val="en-GB"/>
              </w:rPr>
              <w:t>]</w:t>
            </w:r>
          </w:p>
        </w:tc>
        <w:tc>
          <w:tcPr>
            <w:tcW w:w="907" w:type="dxa"/>
            <w:shd w:val="clear" w:color="auto" w:fill="auto"/>
            <w:noWrap/>
            <w:vAlign w:val="bottom"/>
            <w:hideMark/>
          </w:tcPr>
          <w:p w:rsidR="00BA53D0" w:rsidRPr="002441DF" w:rsidRDefault="00BA53D0" w:rsidP="00B523C3">
            <w:pPr>
              <w:jc w:val="right"/>
              <w:rPr>
                <w:rFonts w:ascii="Arial" w:hAnsi="Arial" w:cs="Arial"/>
                <w:bCs/>
                <w:color w:val="000000"/>
                <w:sz w:val="18"/>
                <w:szCs w:val="18"/>
              </w:rPr>
            </w:pPr>
            <w:r>
              <w:rPr>
                <w:rFonts w:ascii="Arial" w:hAnsi="Arial"/>
                <w:bCs/>
                <w:color w:val="000000"/>
                <w:sz w:val="18"/>
                <w:szCs w:val="18"/>
              </w:rPr>
              <w:t>100</w:t>
            </w:r>
          </w:p>
        </w:tc>
        <w:tc>
          <w:tcPr>
            <w:tcW w:w="907" w:type="dxa"/>
            <w:shd w:val="clear" w:color="auto" w:fill="auto"/>
            <w:noWrap/>
            <w:vAlign w:val="bottom"/>
            <w:hideMark/>
          </w:tcPr>
          <w:p w:rsidR="00BA53D0" w:rsidRPr="002441DF" w:rsidRDefault="00BA53D0" w:rsidP="00B523C3">
            <w:pPr>
              <w:jc w:val="right"/>
              <w:rPr>
                <w:rFonts w:ascii="Arial" w:hAnsi="Arial" w:cs="Arial"/>
                <w:color w:val="000000"/>
                <w:sz w:val="18"/>
                <w:szCs w:val="18"/>
              </w:rPr>
            </w:pPr>
            <w:r>
              <w:rPr>
                <w:rFonts w:ascii="Arial" w:hAnsi="Arial"/>
                <w:color w:val="000000"/>
                <w:sz w:val="18"/>
                <w:szCs w:val="18"/>
              </w:rPr>
              <w:t>125</w:t>
            </w:r>
          </w:p>
        </w:tc>
        <w:tc>
          <w:tcPr>
            <w:tcW w:w="964" w:type="dxa"/>
            <w:shd w:val="clear" w:color="auto" w:fill="auto"/>
            <w:noWrap/>
            <w:vAlign w:val="bottom"/>
            <w:hideMark/>
          </w:tcPr>
          <w:p w:rsidR="00BA53D0" w:rsidRPr="002441DF" w:rsidRDefault="00837F64" w:rsidP="00837F64">
            <w:pPr>
              <w:jc w:val="right"/>
              <w:rPr>
                <w:rFonts w:ascii="Arial" w:hAnsi="Arial" w:cs="Arial"/>
                <w:color w:val="000000"/>
                <w:sz w:val="18"/>
                <w:szCs w:val="18"/>
              </w:rPr>
            </w:pPr>
            <w:r>
              <w:rPr>
                <w:rFonts w:ascii="Arial" w:hAnsi="Arial"/>
                <w:color w:val="000000"/>
                <w:sz w:val="18"/>
                <w:szCs w:val="18"/>
              </w:rPr>
              <w:t>(</w:t>
            </w:r>
            <w:r w:rsidR="00BA53D0">
              <w:rPr>
                <w:rFonts w:ascii="Arial" w:hAnsi="Arial"/>
                <w:color w:val="000000"/>
                <w:sz w:val="18"/>
                <w:szCs w:val="18"/>
              </w:rPr>
              <w:t>19</w:t>
            </w:r>
            <w:r>
              <w:rPr>
                <w:rFonts w:ascii="Arial" w:hAnsi="Arial"/>
                <w:color w:val="000000"/>
                <w:sz w:val="18"/>
                <w:szCs w:val="18"/>
              </w:rPr>
              <w:t>.</w:t>
            </w:r>
            <w:r w:rsidR="00BA53D0">
              <w:rPr>
                <w:rFonts w:ascii="Arial" w:hAnsi="Arial"/>
                <w:color w:val="000000"/>
                <w:sz w:val="18"/>
                <w:szCs w:val="18"/>
              </w:rPr>
              <w:t>4</w:t>
            </w:r>
            <w:r>
              <w:rPr>
                <w:rFonts w:ascii="Arial" w:hAnsi="Arial"/>
                <w:color w:val="000000"/>
                <w:sz w:val="18"/>
                <w:szCs w:val="18"/>
              </w:rPr>
              <w:t>)</w:t>
            </w:r>
            <w:r w:rsidR="00BA53D0">
              <w:rPr>
                <w:rFonts w:ascii="Arial" w:hAnsi="Arial"/>
                <w:color w:val="000000"/>
                <w:sz w:val="18"/>
                <w:szCs w:val="18"/>
              </w:rPr>
              <w:t>%</w:t>
            </w:r>
          </w:p>
        </w:tc>
        <w:tc>
          <w:tcPr>
            <w:tcW w:w="907" w:type="dxa"/>
            <w:shd w:val="clear" w:color="auto" w:fill="auto"/>
            <w:noWrap/>
            <w:vAlign w:val="bottom"/>
            <w:hideMark/>
          </w:tcPr>
          <w:p w:rsidR="00BA53D0" w:rsidRPr="002441DF" w:rsidRDefault="00BA53D0" w:rsidP="00B523C3">
            <w:pPr>
              <w:jc w:val="right"/>
              <w:rPr>
                <w:rFonts w:ascii="Arial" w:hAnsi="Arial" w:cs="Arial"/>
                <w:bCs/>
                <w:color w:val="000000"/>
                <w:sz w:val="18"/>
                <w:szCs w:val="18"/>
              </w:rPr>
            </w:pPr>
            <w:r>
              <w:rPr>
                <w:rFonts w:ascii="Arial" w:hAnsi="Arial"/>
                <w:bCs/>
                <w:color w:val="000000"/>
                <w:sz w:val="18"/>
                <w:szCs w:val="18"/>
              </w:rPr>
              <w:t>201</w:t>
            </w:r>
          </w:p>
        </w:tc>
        <w:tc>
          <w:tcPr>
            <w:tcW w:w="907" w:type="dxa"/>
            <w:shd w:val="clear" w:color="auto" w:fill="auto"/>
            <w:noWrap/>
            <w:vAlign w:val="bottom"/>
            <w:hideMark/>
          </w:tcPr>
          <w:p w:rsidR="00BA53D0" w:rsidRPr="002441DF" w:rsidRDefault="00BA53D0" w:rsidP="00B523C3">
            <w:pPr>
              <w:jc w:val="right"/>
              <w:rPr>
                <w:rFonts w:ascii="Arial" w:hAnsi="Arial" w:cs="Arial"/>
                <w:bCs/>
                <w:color w:val="000000"/>
                <w:sz w:val="18"/>
                <w:szCs w:val="18"/>
              </w:rPr>
            </w:pPr>
            <w:r>
              <w:rPr>
                <w:rFonts w:ascii="Arial" w:hAnsi="Arial"/>
                <w:bCs/>
                <w:color w:val="000000"/>
                <w:sz w:val="18"/>
                <w:szCs w:val="18"/>
              </w:rPr>
              <w:t>218</w:t>
            </w:r>
          </w:p>
        </w:tc>
        <w:tc>
          <w:tcPr>
            <w:tcW w:w="964" w:type="dxa"/>
            <w:shd w:val="clear" w:color="auto" w:fill="auto"/>
            <w:noWrap/>
            <w:vAlign w:val="bottom"/>
            <w:hideMark/>
          </w:tcPr>
          <w:p w:rsidR="00BA53D0" w:rsidRPr="00837F64" w:rsidRDefault="00837F64" w:rsidP="00837F64">
            <w:pPr>
              <w:jc w:val="right"/>
              <w:rPr>
                <w:rFonts w:ascii="Arial" w:hAnsi="Arial" w:cs="Arial"/>
                <w:bCs/>
                <w:color w:val="000000"/>
                <w:sz w:val="18"/>
                <w:szCs w:val="18"/>
                <w:lang w:val="en-GB"/>
              </w:rPr>
            </w:pPr>
            <w:r w:rsidRPr="00837F64">
              <w:rPr>
                <w:rFonts w:ascii="Arial" w:hAnsi="Arial"/>
                <w:bCs/>
                <w:color w:val="000000"/>
                <w:sz w:val="18"/>
                <w:szCs w:val="18"/>
                <w:lang w:val="en-GB"/>
              </w:rPr>
              <w:t>(</w:t>
            </w:r>
            <w:r w:rsidR="00BA53D0" w:rsidRPr="00837F64">
              <w:rPr>
                <w:rFonts w:ascii="Arial" w:hAnsi="Arial"/>
                <w:bCs/>
                <w:color w:val="000000"/>
                <w:sz w:val="18"/>
                <w:szCs w:val="18"/>
                <w:lang w:val="en-GB"/>
              </w:rPr>
              <w:t>7</w:t>
            </w:r>
            <w:r w:rsidRPr="00837F64">
              <w:rPr>
                <w:rFonts w:ascii="Arial" w:hAnsi="Arial"/>
                <w:bCs/>
                <w:color w:val="000000"/>
                <w:sz w:val="18"/>
                <w:szCs w:val="18"/>
                <w:lang w:val="en-GB"/>
              </w:rPr>
              <w:t>.</w:t>
            </w:r>
            <w:r w:rsidR="00BA53D0" w:rsidRPr="00837F64">
              <w:rPr>
                <w:rFonts w:ascii="Arial" w:hAnsi="Arial"/>
                <w:bCs/>
                <w:color w:val="000000"/>
                <w:sz w:val="18"/>
                <w:szCs w:val="18"/>
                <w:lang w:val="en-GB"/>
              </w:rPr>
              <w:t>7</w:t>
            </w:r>
            <w:r w:rsidRPr="00837F64">
              <w:rPr>
                <w:rFonts w:ascii="Arial" w:hAnsi="Arial"/>
                <w:bCs/>
                <w:color w:val="000000"/>
                <w:sz w:val="18"/>
                <w:szCs w:val="18"/>
                <w:lang w:val="en-GB"/>
              </w:rPr>
              <w:t>)</w:t>
            </w:r>
            <w:r w:rsidR="00BA53D0" w:rsidRPr="00837F64">
              <w:rPr>
                <w:rFonts w:ascii="Arial" w:hAnsi="Arial"/>
                <w:bCs/>
                <w:color w:val="000000"/>
                <w:sz w:val="18"/>
                <w:szCs w:val="18"/>
                <w:lang w:val="en-GB"/>
              </w:rPr>
              <w:t>%</w:t>
            </w:r>
          </w:p>
        </w:tc>
      </w:tr>
      <w:tr w:rsidR="00BA53D0" w:rsidRPr="00837F64" w:rsidTr="00B523C3">
        <w:trPr>
          <w:trHeight w:val="255"/>
        </w:trPr>
        <w:tc>
          <w:tcPr>
            <w:tcW w:w="3114" w:type="dxa"/>
            <w:noWrap/>
            <w:vAlign w:val="center"/>
            <w:hideMark/>
          </w:tcPr>
          <w:p w:rsidR="00BA53D0" w:rsidRPr="00837F64" w:rsidRDefault="00BA53D0" w:rsidP="00837F64">
            <w:pPr>
              <w:rPr>
                <w:rFonts w:ascii="Arial" w:hAnsi="Arial" w:cs="Arial"/>
                <w:color w:val="000000"/>
                <w:sz w:val="20"/>
                <w:szCs w:val="20"/>
                <w:lang w:val="en-GB"/>
              </w:rPr>
            </w:pPr>
            <w:r w:rsidRPr="00837F64">
              <w:rPr>
                <w:rFonts w:ascii="Arial" w:hAnsi="Arial"/>
                <w:sz w:val="18"/>
                <w:szCs w:val="18"/>
                <w:lang w:val="en-GB"/>
              </w:rPr>
              <w:t>EBIT [€</w:t>
            </w:r>
            <w:r w:rsidR="00837F64" w:rsidRPr="00837F64">
              <w:rPr>
                <w:rFonts w:ascii="Arial" w:hAnsi="Arial"/>
                <w:sz w:val="18"/>
                <w:szCs w:val="18"/>
                <w:lang w:val="en-GB"/>
              </w:rPr>
              <w:t xml:space="preserve"> million</w:t>
            </w:r>
            <w:r w:rsidRPr="00837F64">
              <w:rPr>
                <w:rFonts w:ascii="Arial" w:hAnsi="Arial"/>
                <w:sz w:val="18"/>
                <w:szCs w:val="18"/>
                <w:lang w:val="en-GB"/>
              </w:rPr>
              <w:t>]</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62</w:t>
            </w:r>
          </w:p>
        </w:tc>
        <w:tc>
          <w:tcPr>
            <w:tcW w:w="907" w:type="dxa"/>
            <w:shd w:val="clear" w:color="auto" w:fill="auto"/>
            <w:noWrap/>
            <w:vAlign w:val="bottom"/>
            <w:hideMark/>
          </w:tcPr>
          <w:p w:rsidR="00BA53D0" w:rsidRPr="00837F64" w:rsidRDefault="00BA53D0" w:rsidP="00B523C3">
            <w:pPr>
              <w:jc w:val="right"/>
              <w:rPr>
                <w:rFonts w:ascii="Arial" w:hAnsi="Arial" w:cs="Arial"/>
                <w:color w:val="000000"/>
                <w:sz w:val="18"/>
                <w:szCs w:val="18"/>
                <w:lang w:val="en-GB"/>
              </w:rPr>
            </w:pPr>
            <w:r w:rsidRPr="00837F64">
              <w:rPr>
                <w:rFonts w:ascii="Arial" w:hAnsi="Arial"/>
                <w:color w:val="000000"/>
                <w:sz w:val="18"/>
                <w:szCs w:val="18"/>
                <w:lang w:val="en-GB"/>
              </w:rPr>
              <w:t>87</w:t>
            </w:r>
          </w:p>
        </w:tc>
        <w:tc>
          <w:tcPr>
            <w:tcW w:w="964" w:type="dxa"/>
            <w:shd w:val="clear" w:color="auto" w:fill="auto"/>
            <w:noWrap/>
            <w:vAlign w:val="bottom"/>
            <w:hideMark/>
          </w:tcPr>
          <w:p w:rsidR="00BA53D0" w:rsidRPr="00837F64" w:rsidRDefault="00837F64" w:rsidP="00837F64">
            <w:pPr>
              <w:jc w:val="right"/>
              <w:rPr>
                <w:rFonts w:ascii="Arial" w:hAnsi="Arial" w:cs="Arial"/>
                <w:color w:val="000000"/>
                <w:sz w:val="18"/>
                <w:szCs w:val="18"/>
                <w:lang w:val="en-GB"/>
              </w:rPr>
            </w:pPr>
            <w:r>
              <w:rPr>
                <w:rFonts w:ascii="Arial" w:hAnsi="Arial"/>
                <w:color w:val="000000"/>
                <w:sz w:val="18"/>
                <w:szCs w:val="18"/>
                <w:lang w:val="en-GB"/>
              </w:rPr>
              <w:t>(</w:t>
            </w:r>
            <w:r w:rsidR="00BA53D0" w:rsidRPr="00837F64">
              <w:rPr>
                <w:rFonts w:ascii="Arial" w:hAnsi="Arial"/>
                <w:color w:val="000000"/>
                <w:sz w:val="18"/>
                <w:szCs w:val="18"/>
                <w:lang w:val="en-GB"/>
              </w:rPr>
              <w:t>28</w:t>
            </w:r>
            <w:r w:rsidRPr="00837F64">
              <w:rPr>
                <w:rFonts w:ascii="Arial" w:hAnsi="Arial"/>
                <w:color w:val="000000"/>
                <w:sz w:val="18"/>
                <w:szCs w:val="18"/>
                <w:lang w:val="en-GB"/>
              </w:rPr>
              <w:t>.</w:t>
            </w:r>
            <w:r w:rsidR="00BA53D0" w:rsidRPr="00837F64">
              <w:rPr>
                <w:rFonts w:ascii="Arial" w:hAnsi="Arial"/>
                <w:color w:val="000000"/>
                <w:sz w:val="18"/>
                <w:szCs w:val="18"/>
                <w:lang w:val="en-GB"/>
              </w:rPr>
              <w:t>3</w:t>
            </w:r>
            <w:r>
              <w:rPr>
                <w:rFonts w:ascii="Arial" w:hAnsi="Arial"/>
                <w:color w:val="000000"/>
                <w:sz w:val="18"/>
                <w:szCs w:val="18"/>
                <w:lang w:val="en-GB"/>
              </w:rPr>
              <w:t>)</w:t>
            </w:r>
            <w:r w:rsidR="00BA53D0" w:rsidRPr="00837F64">
              <w:rPr>
                <w:rFonts w:ascii="Arial" w:hAnsi="Arial"/>
                <w:color w:val="000000"/>
                <w:sz w:val="18"/>
                <w:szCs w:val="18"/>
                <w:lang w:val="en-GB"/>
              </w:rPr>
              <w:t>%</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125</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142</w:t>
            </w:r>
          </w:p>
        </w:tc>
        <w:tc>
          <w:tcPr>
            <w:tcW w:w="964" w:type="dxa"/>
            <w:shd w:val="clear" w:color="auto" w:fill="auto"/>
            <w:noWrap/>
            <w:vAlign w:val="bottom"/>
            <w:hideMark/>
          </w:tcPr>
          <w:p w:rsidR="00BA53D0" w:rsidRPr="00837F64" w:rsidRDefault="00837F64" w:rsidP="00837F64">
            <w:pPr>
              <w:jc w:val="right"/>
              <w:rPr>
                <w:rFonts w:ascii="Arial" w:hAnsi="Arial" w:cs="Arial"/>
                <w:bCs/>
                <w:color w:val="000000"/>
                <w:sz w:val="18"/>
                <w:szCs w:val="18"/>
                <w:lang w:val="en-GB"/>
              </w:rPr>
            </w:pPr>
            <w:r>
              <w:rPr>
                <w:rFonts w:ascii="Arial" w:hAnsi="Arial"/>
                <w:bCs/>
                <w:color w:val="000000"/>
                <w:sz w:val="18"/>
                <w:szCs w:val="18"/>
                <w:lang w:val="en-GB"/>
              </w:rPr>
              <w:t>(</w:t>
            </w:r>
            <w:r w:rsidR="00BA53D0" w:rsidRPr="00837F64">
              <w:rPr>
                <w:rFonts w:ascii="Arial" w:hAnsi="Arial"/>
                <w:bCs/>
                <w:color w:val="000000"/>
                <w:sz w:val="18"/>
                <w:szCs w:val="18"/>
                <w:lang w:val="en-GB"/>
              </w:rPr>
              <w:t>12</w:t>
            </w:r>
            <w:r>
              <w:rPr>
                <w:rFonts w:ascii="Arial" w:hAnsi="Arial"/>
                <w:bCs/>
                <w:color w:val="000000"/>
                <w:sz w:val="18"/>
                <w:szCs w:val="18"/>
                <w:lang w:val="en-GB"/>
              </w:rPr>
              <w:t>.</w:t>
            </w:r>
            <w:r w:rsidR="00BA53D0" w:rsidRPr="00837F64">
              <w:rPr>
                <w:rFonts w:ascii="Arial" w:hAnsi="Arial"/>
                <w:bCs/>
                <w:color w:val="000000"/>
                <w:sz w:val="18"/>
                <w:szCs w:val="18"/>
                <w:lang w:val="en-GB"/>
              </w:rPr>
              <w:t>2</w:t>
            </w:r>
            <w:r>
              <w:rPr>
                <w:rFonts w:ascii="Arial" w:hAnsi="Arial"/>
                <w:bCs/>
                <w:color w:val="000000"/>
                <w:sz w:val="18"/>
                <w:szCs w:val="18"/>
                <w:lang w:val="en-GB"/>
              </w:rPr>
              <w:t>)</w:t>
            </w:r>
            <w:r w:rsidR="00BA53D0" w:rsidRPr="00837F64">
              <w:rPr>
                <w:rFonts w:ascii="Arial" w:hAnsi="Arial"/>
                <w:bCs/>
                <w:color w:val="000000"/>
                <w:sz w:val="18"/>
                <w:szCs w:val="18"/>
                <w:lang w:val="en-GB"/>
              </w:rPr>
              <w:t>%</w:t>
            </w:r>
          </w:p>
        </w:tc>
      </w:tr>
      <w:tr w:rsidR="00BA53D0" w:rsidRPr="00837F64" w:rsidTr="00B523C3">
        <w:trPr>
          <w:trHeight w:val="285"/>
        </w:trPr>
        <w:tc>
          <w:tcPr>
            <w:tcW w:w="3114" w:type="dxa"/>
            <w:noWrap/>
            <w:vAlign w:val="center"/>
            <w:hideMark/>
          </w:tcPr>
          <w:p w:rsidR="00BA53D0" w:rsidRPr="00837F64" w:rsidRDefault="00DF1AB1" w:rsidP="00DF1AB1">
            <w:pPr>
              <w:rPr>
                <w:rFonts w:ascii="Arial" w:hAnsi="Arial" w:cs="Arial"/>
                <w:color w:val="000000"/>
                <w:sz w:val="20"/>
                <w:szCs w:val="20"/>
                <w:lang w:val="en-GB"/>
              </w:rPr>
            </w:pPr>
            <w:r w:rsidRPr="00837F64">
              <w:rPr>
                <w:rFonts w:ascii="Arial" w:hAnsi="Arial"/>
                <w:noProof/>
                <w:sz w:val="18"/>
                <w:lang w:val="en-GB"/>
              </w:rPr>
              <w:t xml:space="preserve">Adjusted EBIT </w:t>
            </w:r>
            <w:r w:rsidRPr="00837F64">
              <w:rPr>
                <w:rFonts w:ascii="Arial" w:hAnsi="Arial"/>
                <w:noProof/>
                <w:sz w:val="18"/>
                <w:vertAlign w:val="superscript"/>
                <w:lang w:val="en-GB"/>
              </w:rPr>
              <w:t>(1)</w:t>
            </w:r>
            <w:r w:rsidRPr="00837F64">
              <w:rPr>
                <w:rFonts w:ascii="Arial" w:hAnsi="Arial"/>
                <w:noProof/>
                <w:sz w:val="18"/>
                <w:lang w:val="en-GB"/>
              </w:rPr>
              <w:t xml:space="preserve"> </w:t>
            </w:r>
            <w:r w:rsidRPr="00837F64">
              <w:rPr>
                <w:rFonts w:ascii="Arial" w:hAnsi="Arial"/>
                <w:sz w:val="18"/>
                <w:lang w:val="en-GB"/>
              </w:rPr>
              <w:t>[€ million]</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64</w:t>
            </w:r>
          </w:p>
        </w:tc>
        <w:tc>
          <w:tcPr>
            <w:tcW w:w="907" w:type="dxa"/>
            <w:shd w:val="clear" w:color="auto" w:fill="auto"/>
            <w:noWrap/>
            <w:vAlign w:val="bottom"/>
            <w:hideMark/>
          </w:tcPr>
          <w:p w:rsidR="00BA53D0" w:rsidRPr="00837F64" w:rsidRDefault="00BA53D0" w:rsidP="00B523C3">
            <w:pPr>
              <w:jc w:val="right"/>
              <w:rPr>
                <w:rFonts w:ascii="Arial" w:hAnsi="Arial" w:cs="Arial"/>
                <w:color w:val="000000"/>
                <w:sz w:val="18"/>
                <w:szCs w:val="18"/>
                <w:lang w:val="en-GB"/>
              </w:rPr>
            </w:pPr>
            <w:r w:rsidRPr="00837F64">
              <w:rPr>
                <w:rFonts w:ascii="Arial" w:hAnsi="Arial"/>
                <w:color w:val="000000"/>
                <w:sz w:val="18"/>
                <w:szCs w:val="18"/>
                <w:lang w:val="en-GB"/>
              </w:rPr>
              <w:t>65</w:t>
            </w:r>
          </w:p>
        </w:tc>
        <w:tc>
          <w:tcPr>
            <w:tcW w:w="964" w:type="dxa"/>
            <w:shd w:val="clear" w:color="auto" w:fill="auto"/>
            <w:noWrap/>
            <w:vAlign w:val="bottom"/>
            <w:hideMark/>
          </w:tcPr>
          <w:p w:rsidR="00BA53D0" w:rsidRPr="00837F64" w:rsidRDefault="00837F64" w:rsidP="00837F64">
            <w:pPr>
              <w:jc w:val="right"/>
              <w:rPr>
                <w:rFonts w:ascii="Arial" w:hAnsi="Arial" w:cs="Arial"/>
                <w:color w:val="000000"/>
                <w:sz w:val="18"/>
                <w:szCs w:val="18"/>
                <w:lang w:val="en-GB"/>
              </w:rPr>
            </w:pPr>
            <w:r>
              <w:rPr>
                <w:rFonts w:ascii="Arial" w:hAnsi="Arial"/>
                <w:color w:val="000000"/>
                <w:sz w:val="18"/>
                <w:szCs w:val="18"/>
                <w:lang w:val="en-GB"/>
              </w:rPr>
              <w:t>(</w:t>
            </w:r>
            <w:r w:rsidR="00BA53D0" w:rsidRPr="00837F64">
              <w:rPr>
                <w:rFonts w:ascii="Arial" w:hAnsi="Arial"/>
                <w:color w:val="000000"/>
                <w:sz w:val="18"/>
                <w:szCs w:val="18"/>
                <w:lang w:val="en-GB"/>
              </w:rPr>
              <w:t>2</w:t>
            </w:r>
            <w:r>
              <w:rPr>
                <w:rFonts w:ascii="Arial" w:hAnsi="Arial"/>
                <w:color w:val="000000"/>
                <w:sz w:val="18"/>
                <w:szCs w:val="18"/>
                <w:lang w:val="en-GB"/>
              </w:rPr>
              <w:t>.</w:t>
            </w:r>
            <w:r w:rsidR="00BA53D0" w:rsidRPr="00837F64">
              <w:rPr>
                <w:rFonts w:ascii="Arial" w:hAnsi="Arial"/>
                <w:color w:val="000000"/>
                <w:sz w:val="18"/>
                <w:szCs w:val="18"/>
                <w:lang w:val="en-GB"/>
              </w:rPr>
              <w:t>0</w:t>
            </w:r>
            <w:r>
              <w:rPr>
                <w:rFonts w:ascii="Arial" w:hAnsi="Arial"/>
                <w:color w:val="000000"/>
                <w:sz w:val="18"/>
                <w:szCs w:val="18"/>
                <w:lang w:val="en-GB"/>
              </w:rPr>
              <w:t>)</w:t>
            </w:r>
            <w:r w:rsidR="00BA53D0" w:rsidRPr="00837F64">
              <w:rPr>
                <w:rFonts w:ascii="Arial" w:hAnsi="Arial"/>
                <w:color w:val="000000"/>
                <w:sz w:val="18"/>
                <w:szCs w:val="18"/>
                <w:lang w:val="en-GB"/>
              </w:rPr>
              <w:t>%</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128</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120</w:t>
            </w:r>
          </w:p>
        </w:tc>
        <w:tc>
          <w:tcPr>
            <w:tcW w:w="964" w:type="dxa"/>
            <w:shd w:val="clear" w:color="auto" w:fill="auto"/>
            <w:noWrap/>
            <w:vAlign w:val="bottom"/>
            <w:hideMark/>
          </w:tcPr>
          <w:p w:rsidR="00BA53D0" w:rsidRPr="00837F64" w:rsidRDefault="00BA53D0" w:rsidP="00837F64">
            <w:pPr>
              <w:jc w:val="right"/>
              <w:rPr>
                <w:rFonts w:ascii="Arial" w:hAnsi="Arial" w:cs="Arial"/>
                <w:bCs/>
                <w:color w:val="000000"/>
                <w:sz w:val="18"/>
                <w:szCs w:val="18"/>
                <w:lang w:val="en-GB"/>
              </w:rPr>
            </w:pPr>
            <w:r w:rsidRPr="00837F64">
              <w:rPr>
                <w:rFonts w:ascii="Arial" w:hAnsi="Arial"/>
                <w:bCs/>
                <w:color w:val="000000"/>
                <w:sz w:val="18"/>
                <w:szCs w:val="18"/>
                <w:lang w:val="en-GB"/>
              </w:rPr>
              <w:t>7</w:t>
            </w:r>
            <w:r w:rsidR="00837F64">
              <w:rPr>
                <w:rFonts w:ascii="Arial" w:hAnsi="Arial"/>
                <w:bCs/>
                <w:color w:val="000000"/>
                <w:sz w:val="18"/>
                <w:szCs w:val="18"/>
                <w:lang w:val="en-GB"/>
              </w:rPr>
              <w:t>.</w:t>
            </w:r>
            <w:r w:rsidRPr="00837F64">
              <w:rPr>
                <w:rFonts w:ascii="Arial" w:hAnsi="Arial"/>
                <w:bCs/>
                <w:color w:val="000000"/>
                <w:sz w:val="18"/>
                <w:szCs w:val="18"/>
                <w:lang w:val="en-GB"/>
              </w:rPr>
              <w:t>1%</w:t>
            </w:r>
          </w:p>
        </w:tc>
      </w:tr>
      <w:tr w:rsidR="00BA53D0" w:rsidRPr="00837F64" w:rsidTr="00B523C3">
        <w:trPr>
          <w:trHeight w:val="255"/>
        </w:trPr>
        <w:tc>
          <w:tcPr>
            <w:tcW w:w="3114" w:type="dxa"/>
            <w:noWrap/>
            <w:vAlign w:val="center"/>
            <w:hideMark/>
          </w:tcPr>
          <w:p w:rsidR="00BA53D0" w:rsidRPr="00837F64" w:rsidRDefault="00DF1AB1" w:rsidP="00B523C3">
            <w:pPr>
              <w:rPr>
                <w:rFonts w:ascii="Arial" w:hAnsi="Arial" w:cs="Arial"/>
                <w:color w:val="000000"/>
                <w:sz w:val="20"/>
                <w:szCs w:val="20"/>
                <w:lang w:val="en-GB"/>
              </w:rPr>
            </w:pPr>
            <w:r w:rsidRPr="00837F64">
              <w:rPr>
                <w:rFonts w:ascii="Arial" w:hAnsi="Arial"/>
                <w:sz w:val="18"/>
                <w:lang w:val="en-GB"/>
              </w:rPr>
              <w:t>Consolidated net income [€ million]</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41</w:t>
            </w:r>
          </w:p>
        </w:tc>
        <w:tc>
          <w:tcPr>
            <w:tcW w:w="907" w:type="dxa"/>
            <w:shd w:val="clear" w:color="auto" w:fill="auto"/>
            <w:noWrap/>
            <w:vAlign w:val="bottom"/>
            <w:hideMark/>
          </w:tcPr>
          <w:p w:rsidR="00BA53D0" w:rsidRPr="00837F64" w:rsidRDefault="00BA53D0" w:rsidP="00B523C3">
            <w:pPr>
              <w:jc w:val="right"/>
              <w:rPr>
                <w:rFonts w:ascii="Arial" w:hAnsi="Arial" w:cs="Arial"/>
                <w:color w:val="000000"/>
                <w:sz w:val="18"/>
                <w:szCs w:val="18"/>
                <w:lang w:val="en-GB"/>
              </w:rPr>
            </w:pPr>
            <w:r w:rsidRPr="00837F64">
              <w:rPr>
                <w:rFonts w:ascii="Arial" w:hAnsi="Arial"/>
                <w:color w:val="000000"/>
                <w:sz w:val="18"/>
                <w:szCs w:val="18"/>
                <w:lang w:val="en-GB"/>
              </w:rPr>
              <w:t>61</w:t>
            </w:r>
          </w:p>
        </w:tc>
        <w:tc>
          <w:tcPr>
            <w:tcW w:w="964" w:type="dxa"/>
            <w:shd w:val="clear" w:color="auto" w:fill="auto"/>
            <w:noWrap/>
            <w:vAlign w:val="bottom"/>
            <w:hideMark/>
          </w:tcPr>
          <w:p w:rsidR="00BA53D0" w:rsidRPr="00837F64" w:rsidRDefault="00837F64" w:rsidP="00837F64">
            <w:pPr>
              <w:jc w:val="right"/>
              <w:rPr>
                <w:rFonts w:ascii="Arial" w:hAnsi="Arial" w:cs="Arial"/>
                <w:color w:val="000000"/>
                <w:sz w:val="18"/>
                <w:szCs w:val="18"/>
                <w:lang w:val="en-GB"/>
              </w:rPr>
            </w:pPr>
            <w:r>
              <w:rPr>
                <w:rFonts w:ascii="Arial" w:hAnsi="Arial"/>
                <w:color w:val="000000"/>
                <w:sz w:val="18"/>
                <w:szCs w:val="18"/>
                <w:lang w:val="en-GB"/>
              </w:rPr>
              <w:t>(</w:t>
            </w:r>
            <w:r w:rsidR="00BA53D0" w:rsidRPr="00837F64">
              <w:rPr>
                <w:rFonts w:ascii="Arial" w:hAnsi="Arial"/>
                <w:color w:val="000000"/>
                <w:sz w:val="18"/>
                <w:szCs w:val="18"/>
                <w:lang w:val="en-GB"/>
              </w:rPr>
              <w:t>33</w:t>
            </w:r>
            <w:r>
              <w:rPr>
                <w:rFonts w:ascii="Arial" w:hAnsi="Arial"/>
                <w:color w:val="000000"/>
                <w:sz w:val="18"/>
                <w:szCs w:val="18"/>
                <w:lang w:val="en-GB"/>
              </w:rPr>
              <w:t>.</w:t>
            </w:r>
            <w:r w:rsidR="00BA53D0" w:rsidRPr="00837F64">
              <w:rPr>
                <w:rFonts w:ascii="Arial" w:hAnsi="Arial"/>
                <w:color w:val="000000"/>
                <w:sz w:val="18"/>
                <w:szCs w:val="18"/>
                <w:lang w:val="en-GB"/>
              </w:rPr>
              <w:t>3</w:t>
            </w:r>
            <w:r>
              <w:rPr>
                <w:rFonts w:ascii="Arial" w:hAnsi="Arial"/>
                <w:color w:val="000000"/>
                <w:sz w:val="18"/>
                <w:szCs w:val="18"/>
                <w:lang w:val="en-GB"/>
              </w:rPr>
              <w:t>)</w:t>
            </w:r>
            <w:r w:rsidR="00BA53D0" w:rsidRPr="00837F64">
              <w:rPr>
                <w:rFonts w:ascii="Arial" w:hAnsi="Arial"/>
                <w:color w:val="000000"/>
                <w:sz w:val="18"/>
                <w:szCs w:val="18"/>
                <w:lang w:val="en-GB"/>
              </w:rPr>
              <w:t>%</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84</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98</w:t>
            </w:r>
          </w:p>
        </w:tc>
        <w:tc>
          <w:tcPr>
            <w:tcW w:w="964" w:type="dxa"/>
            <w:shd w:val="clear" w:color="auto" w:fill="auto"/>
            <w:noWrap/>
            <w:vAlign w:val="bottom"/>
            <w:hideMark/>
          </w:tcPr>
          <w:p w:rsidR="00BA53D0" w:rsidRPr="00837F64" w:rsidRDefault="00837F64" w:rsidP="00837F64">
            <w:pPr>
              <w:jc w:val="right"/>
              <w:rPr>
                <w:rFonts w:ascii="Arial" w:hAnsi="Arial" w:cs="Arial"/>
                <w:bCs/>
                <w:color w:val="000000"/>
                <w:sz w:val="18"/>
                <w:szCs w:val="18"/>
                <w:lang w:val="en-GB"/>
              </w:rPr>
            </w:pPr>
            <w:r>
              <w:rPr>
                <w:rFonts w:ascii="Arial" w:hAnsi="Arial"/>
                <w:bCs/>
                <w:color w:val="000000"/>
                <w:sz w:val="18"/>
                <w:szCs w:val="18"/>
                <w:lang w:val="en-GB"/>
              </w:rPr>
              <w:t>(</w:t>
            </w:r>
            <w:r w:rsidR="00BA53D0" w:rsidRPr="00837F64">
              <w:rPr>
                <w:rFonts w:ascii="Arial" w:hAnsi="Arial"/>
                <w:bCs/>
                <w:color w:val="000000"/>
                <w:sz w:val="18"/>
                <w:szCs w:val="18"/>
                <w:lang w:val="en-GB"/>
              </w:rPr>
              <w:t>13</w:t>
            </w:r>
            <w:r w:rsidRPr="00837F64">
              <w:rPr>
                <w:rFonts w:ascii="Arial" w:hAnsi="Arial"/>
                <w:bCs/>
                <w:color w:val="000000"/>
                <w:sz w:val="18"/>
                <w:szCs w:val="18"/>
                <w:lang w:val="en-GB"/>
              </w:rPr>
              <w:t>.</w:t>
            </w:r>
            <w:r w:rsidR="00BA53D0" w:rsidRPr="00837F64">
              <w:rPr>
                <w:rFonts w:ascii="Arial" w:hAnsi="Arial"/>
                <w:bCs/>
                <w:color w:val="000000"/>
                <w:sz w:val="18"/>
                <w:szCs w:val="18"/>
                <w:lang w:val="en-GB"/>
              </w:rPr>
              <w:t>7</w:t>
            </w:r>
            <w:r>
              <w:rPr>
                <w:rFonts w:ascii="Arial" w:hAnsi="Arial"/>
                <w:bCs/>
                <w:color w:val="000000"/>
                <w:sz w:val="18"/>
                <w:szCs w:val="18"/>
                <w:lang w:val="en-GB"/>
              </w:rPr>
              <w:t>)</w:t>
            </w:r>
            <w:r w:rsidR="00BA53D0" w:rsidRPr="00837F64">
              <w:rPr>
                <w:rFonts w:ascii="Arial" w:hAnsi="Arial"/>
                <w:bCs/>
                <w:color w:val="000000"/>
                <w:sz w:val="18"/>
                <w:szCs w:val="18"/>
                <w:lang w:val="en-GB"/>
              </w:rPr>
              <w:t>%</w:t>
            </w:r>
          </w:p>
        </w:tc>
      </w:tr>
      <w:tr w:rsidR="00BA53D0" w:rsidRPr="00837F64" w:rsidTr="00B523C3">
        <w:trPr>
          <w:trHeight w:val="255"/>
        </w:trPr>
        <w:tc>
          <w:tcPr>
            <w:tcW w:w="3114" w:type="dxa"/>
            <w:noWrap/>
            <w:vAlign w:val="center"/>
            <w:hideMark/>
          </w:tcPr>
          <w:p w:rsidR="00BA53D0" w:rsidRPr="00837F64" w:rsidRDefault="00BA53D0" w:rsidP="00837F64">
            <w:pPr>
              <w:rPr>
                <w:rFonts w:ascii="Arial" w:hAnsi="Arial" w:cs="Arial"/>
                <w:color w:val="000000"/>
                <w:sz w:val="20"/>
                <w:szCs w:val="20"/>
                <w:lang w:val="en-GB"/>
              </w:rPr>
            </w:pPr>
            <w:r w:rsidRPr="00837F64">
              <w:rPr>
                <w:rFonts w:ascii="Arial" w:hAnsi="Arial"/>
                <w:sz w:val="18"/>
                <w:szCs w:val="18"/>
                <w:lang w:val="en-GB"/>
              </w:rPr>
              <w:t>E</w:t>
            </w:r>
            <w:r w:rsidR="00837F64" w:rsidRPr="00837F64">
              <w:rPr>
                <w:rFonts w:ascii="Arial" w:hAnsi="Arial"/>
                <w:sz w:val="18"/>
                <w:szCs w:val="18"/>
                <w:lang w:val="en-GB"/>
              </w:rPr>
              <w:t xml:space="preserve">arnings per share </w:t>
            </w:r>
            <w:r w:rsidRPr="00837F64">
              <w:rPr>
                <w:rFonts w:ascii="Arial" w:hAnsi="Arial"/>
                <w:sz w:val="18"/>
                <w:szCs w:val="18"/>
                <w:lang w:val="en-GB"/>
              </w:rPr>
              <w:t>[€]</w:t>
            </w:r>
          </w:p>
        </w:tc>
        <w:tc>
          <w:tcPr>
            <w:tcW w:w="907" w:type="dxa"/>
            <w:shd w:val="clear" w:color="auto" w:fill="auto"/>
            <w:noWrap/>
            <w:vAlign w:val="bottom"/>
            <w:hideMark/>
          </w:tcPr>
          <w:p w:rsidR="00BA53D0" w:rsidRPr="00837F64" w:rsidRDefault="00BA53D0" w:rsidP="00837F64">
            <w:pPr>
              <w:jc w:val="right"/>
              <w:rPr>
                <w:rFonts w:ascii="Arial" w:hAnsi="Arial" w:cs="Arial"/>
                <w:bCs/>
                <w:color w:val="000000"/>
                <w:sz w:val="18"/>
                <w:szCs w:val="18"/>
                <w:lang w:val="en-GB"/>
              </w:rPr>
            </w:pPr>
            <w:r w:rsidRPr="00837F64">
              <w:rPr>
                <w:rFonts w:ascii="Arial" w:hAnsi="Arial"/>
                <w:bCs/>
                <w:color w:val="000000"/>
                <w:sz w:val="18"/>
                <w:szCs w:val="18"/>
                <w:lang w:val="en-GB"/>
              </w:rPr>
              <w:t>1</w:t>
            </w:r>
            <w:r w:rsidR="00837F64" w:rsidRPr="00837F64">
              <w:rPr>
                <w:rFonts w:ascii="Arial" w:hAnsi="Arial"/>
                <w:bCs/>
                <w:color w:val="000000"/>
                <w:sz w:val="18"/>
                <w:szCs w:val="18"/>
                <w:lang w:val="en-GB"/>
              </w:rPr>
              <w:t>.</w:t>
            </w:r>
            <w:r w:rsidRPr="00837F64">
              <w:rPr>
                <w:rFonts w:ascii="Arial" w:hAnsi="Arial"/>
                <w:bCs/>
                <w:color w:val="000000"/>
                <w:sz w:val="18"/>
                <w:szCs w:val="18"/>
                <w:lang w:val="en-GB"/>
              </w:rPr>
              <w:t>29</w:t>
            </w:r>
          </w:p>
        </w:tc>
        <w:tc>
          <w:tcPr>
            <w:tcW w:w="907" w:type="dxa"/>
            <w:shd w:val="clear" w:color="auto" w:fill="auto"/>
            <w:noWrap/>
            <w:vAlign w:val="bottom"/>
            <w:hideMark/>
          </w:tcPr>
          <w:p w:rsidR="00BA53D0" w:rsidRPr="00837F64" w:rsidRDefault="00BA53D0" w:rsidP="00B523C3">
            <w:pPr>
              <w:jc w:val="right"/>
              <w:rPr>
                <w:rFonts w:ascii="Arial" w:hAnsi="Arial" w:cs="Arial"/>
                <w:color w:val="000000"/>
                <w:sz w:val="18"/>
                <w:szCs w:val="18"/>
                <w:lang w:val="en-GB"/>
              </w:rPr>
            </w:pPr>
            <w:r w:rsidRPr="00837F64">
              <w:rPr>
                <w:rFonts w:ascii="Arial" w:hAnsi="Arial"/>
                <w:color w:val="000000"/>
                <w:sz w:val="18"/>
                <w:szCs w:val="18"/>
                <w:lang w:val="en-GB"/>
              </w:rPr>
              <w:t>1</w:t>
            </w:r>
            <w:r w:rsidR="00A9477D">
              <w:rPr>
                <w:rFonts w:ascii="Arial" w:hAnsi="Arial"/>
                <w:color w:val="000000"/>
                <w:sz w:val="18"/>
                <w:szCs w:val="18"/>
                <w:lang w:val="en-GB"/>
              </w:rPr>
              <w:t>.</w:t>
            </w:r>
            <w:r w:rsidRPr="00837F64">
              <w:rPr>
                <w:rFonts w:ascii="Arial" w:hAnsi="Arial"/>
                <w:color w:val="000000"/>
                <w:sz w:val="18"/>
                <w:szCs w:val="18"/>
                <w:lang w:val="en-GB"/>
              </w:rPr>
              <w:t>88</w:t>
            </w:r>
          </w:p>
        </w:tc>
        <w:tc>
          <w:tcPr>
            <w:tcW w:w="964" w:type="dxa"/>
            <w:shd w:val="clear" w:color="auto" w:fill="auto"/>
            <w:noWrap/>
            <w:vAlign w:val="bottom"/>
            <w:hideMark/>
          </w:tcPr>
          <w:p w:rsidR="00BA53D0" w:rsidRPr="00837F64" w:rsidRDefault="00837F64" w:rsidP="00837F64">
            <w:pPr>
              <w:jc w:val="right"/>
              <w:rPr>
                <w:rFonts w:ascii="Arial" w:hAnsi="Arial" w:cs="Arial"/>
                <w:color w:val="000000"/>
                <w:sz w:val="18"/>
                <w:szCs w:val="18"/>
                <w:lang w:val="en-GB"/>
              </w:rPr>
            </w:pPr>
            <w:r>
              <w:rPr>
                <w:rFonts w:ascii="Arial" w:hAnsi="Arial"/>
                <w:color w:val="000000"/>
                <w:sz w:val="18"/>
                <w:szCs w:val="18"/>
                <w:lang w:val="en-GB"/>
              </w:rPr>
              <w:t>(</w:t>
            </w:r>
            <w:r w:rsidR="00BA53D0" w:rsidRPr="00837F64">
              <w:rPr>
                <w:rFonts w:ascii="Arial" w:hAnsi="Arial"/>
                <w:color w:val="000000"/>
                <w:sz w:val="18"/>
                <w:szCs w:val="18"/>
                <w:lang w:val="en-GB"/>
              </w:rPr>
              <w:t>31</w:t>
            </w:r>
            <w:r>
              <w:rPr>
                <w:rFonts w:ascii="Arial" w:hAnsi="Arial"/>
                <w:color w:val="000000"/>
                <w:sz w:val="18"/>
                <w:szCs w:val="18"/>
                <w:lang w:val="en-GB"/>
              </w:rPr>
              <w:t>.</w:t>
            </w:r>
            <w:r w:rsidR="00BA53D0" w:rsidRPr="00837F64">
              <w:rPr>
                <w:rFonts w:ascii="Arial" w:hAnsi="Arial"/>
                <w:color w:val="000000"/>
                <w:sz w:val="18"/>
                <w:szCs w:val="18"/>
                <w:lang w:val="en-GB"/>
              </w:rPr>
              <w:t>4</w:t>
            </w:r>
            <w:r>
              <w:rPr>
                <w:rFonts w:ascii="Arial" w:hAnsi="Arial"/>
                <w:color w:val="000000"/>
                <w:sz w:val="18"/>
                <w:szCs w:val="18"/>
                <w:lang w:val="en-GB"/>
              </w:rPr>
              <w:t>)</w:t>
            </w:r>
            <w:r w:rsidR="00BA53D0" w:rsidRPr="00837F64">
              <w:rPr>
                <w:rFonts w:ascii="Arial" w:hAnsi="Arial"/>
                <w:color w:val="000000"/>
                <w:sz w:val="18"/>
                <w:szCs w:val="18"/>
                <w:lang w:val="en-GB"/>
              </w:rPr>
              <w:t>%</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2</w:t>
            </w:r>
            <w:r w:rsidR="00A9477D">
              <w:rPr>
                <w:rFonts w:ascii="Arial" w:hAnsi="Arial"/>
                <w:bCs/>
                <w:color w:val="000000"/>
                <w:sz w:val="18"/>
                <w:szCs w:val="18"/>
                <w:lang w:val="en-GB"/>
              </w:rPr>
              <w:t>.</w:t>
            </w:r>
            <w:r w:rsidRPr="00837F64">
              <w:rPr>
                <w:rFonts w:ascii="Arial" w:hAnsi="Arial"/>
                <w:bCs/>
                <w:color w:val="000000"/>
                <w:sz w:val="18"/>
                <w:szCs w:val="18"/>
                <w:lang w:val="en-GB"/>
              </w:rPr>
              <w:t>63</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2</w:t>
            </w:r>
            <w:r w:rsidR="00A9477D">
              <w:rPr>
                <w:rFonts w:ascii="Arial" w:hAnsi="Arial"/>
                <w:bCs/>
                <w:color w:val="000000"/>
                <w:sz w:val="18"/>
                <w:szCs w:val="18"/>
                <w:lang w:val="en-GB"/>
              </w:rPr>
              <w:t>.</w:t>
            </w:r>
            <w:r w:rsidRPr="00837F64">
              <w:rPr>
                <w:rFonts w:ascii="Arial" w:hAnsi="Arial"/>
                <w:bCs/>
                <w:color w:val="000000"/>
                <w:sz w:val="18"/>
                <w:szCs w:val="18"/>
                <w:lang w:val="en-GB"/>
              </w:rPr>
              <w:t>99</w:t>
            </w:r>
          </w:p>
        </w:tc>
        <w:tc>
          <w:tcPr>
            <w:tcW w:w="964" w:type="dxa"/>
            <w:shd w:val="clear" w:color="auto" w:fill="auto"/>
            <w:noWrap/>
            <w:vAlign w:val="bottom"/>
            <w:hideMark/>
          </w:tcPr>
          <w:p w:rsidR="00BA53D0" w:rsidRPr="00837F64" w:rsidRDefault="00837F64" w:rsidP="00837F64">
            <w:pPr>
              <w:jc w:val="right"/>
              <w:rPr>
                <w:rFonts w:ascii="Arial" w:hAnsi="Arial" w:cs="Arial"/>
                <w:bCs/>
                <w:color w:val="000000"/>
                <w:sz w:val="18"/>
                <w:szCs w:val="18"/>
                <w:lang w:val="en-GB"/>
              </w:rPr>
            </w:pPr>
            <w:r>
              <w:rPr>
                <w:rFonts w:ascii="Arial" w:hAnsi="Arial"/>
                <w:bCs/>
                <w:color w:val="000000"/>
                <w:sz w:val="18"/>
                <w:szCs w:val="18"/>
                <w:lang w:val="en-GB"/>
              </w:rPr>
              <w:t>(</w:t>
            </w:r>
            <w:r w:rsidR="00BA53D0" w:rsidRPr="00837F64">
              <w:rPr>
                <w:rFonts w:ascii="Arial" w:hAnsi="Arial"/>
                <w:bCs/>
                <w:color w:val="000000"/>
                <w:sz w:val="18"/>
                <w:szCs w:val="18"/>
                <w:lang w:val="en-GB"/>
              </w:rPr>
              <w:t>12</w:t>
            </w:r>
            <w:r>
              <w:rPr>
                <w:rFonts w:ascii="Arial" w:hAnsi="Arial"/>
                <w:bCs/>
                <w:color w:val="000000"/>
                <w:sz w:val="18"/>
                <w:szCs w:val="18"/>
                <w:lang w:val="en-GB"/>
              </w:rPr>
              <w:t>.</w:t>
            </w:r>
            <w:r w:rsidR="00BA53D0" w:rsidRPr="00837F64">
              <w:rPr>
                <w:rFonts w:ascii="Arial" w:hAnsi="Arial"/>
                <w:bCs/>
                <w:color w:val="000000"/>
                <w:sz w:val="18"/>
                <w:szCs w:val="18"/>
                <w:lang w:val="en-GB"/>
              </w:rPr>
              <w:t>0</w:t>
            </w:r>
            <w:r>
              <w:rPr>
                <w:rFonts w:ascii="Arial" w:hAnsi="Arial"/>
                <w:bCs/>
                <w:color w:val="000000"/>
                <w:sz w:val="18"/>
                <w:szCs w:val="18"/>
                <w:lang w:val="en-GB"/>
              </w:rPr>
              <w:t>)</w:t>
            </w:r>
            <w:r w:rsidR="00BA53D0" w:rsidRPr="00837F64">
              <w:rPr>
                <w:rFonts w:ascii="Arial" w:hAnsi="Arial"/>
                <w:bCs/>
                <w:color w:val="000000"/>
                <w:sz w:val="18"/>
                <w:szCs w:val="18"/>
                <w:lang w:val="en-GB"/>
              </w:rPr>
              <w:t>%</w:t>
            </w:r>
          </w:p>
        </w:tc>
      </w:tr>
      <w:tr w:rsidR="00BA53D0" w:rsidRPr="00837F64" w:rsidTr="00B523C3">
        <w:trPr>
          <w:trHeight w:val="255"/>
        </w:trPr>
        <w:tc>
          <w:tcPr>
            <w:tcW w:w="3114" w:type="dxa"/>
            <w:noWrap/>
            <w:vAlign w:val="center"/>
            <w:hideMark/>
          </w:tcPr>
          <w:p w:rsidR="00BA53D0" w:rsidRPr="00837F64" w:rsidRDefault="00837F64" w:rsidP="00837F64">
            <w:pPr>
              <w:rPr>
                <w:rFonts w:ascii="Arial" w:hAnsi="Arial" w:cs="Arial"/>
                <w:color w:val="000000"/>
                <w:sz w:val="20"/>
                <w:szCs w:val="20"/>
                <w:lang w:val="en-GB"/>
              </w:rPr>
            </w:pPr>
            <w:r w:rsidRPr="00837F64">
              <w:rPr>
                <w:rFonts w:ascii="Arial" w:hAnsi="Arial"/>
                <w:noProof/>
                <w:sz w:val="18"/>
                <w:lang w:val="en-GB"/>
              </w:rPr>
              <w:t>Free cash flow [</w:t>
            </w:r>
            <w:r w:rsidRPr="00837F64">
              <w:rPr>
                <w:rFonts w:ascii="Arial" w:hAnsi="Arial"/>
                <w:sz w:val="18"/>
                <w:lang w:val="en-GB"/>
              </w:rPr>
              <w:t>€ million]</w:t>
            </w:r>
          </w:p>
        </w:tc>
        <w:tc>
          <w:tcPr>
            <w:tcW w:w="907" w:type="dxa"/>
            <w:shd w:val="clear" w:color="auto" w:fill="auto"/>
            <w:noWrap/>
            <w:vAlign w:val="bottom"/>
            <w:hideMark/>
          </w:tcPr>
          <w:p w:rsidR="00BA53D0" w:rsidRPr="00837F64" w:rsidRDefault="00837F64" w:rsidP="00837F64">
            <w:pPr>
              <w:jc w:val="right"/>
              <w:rPr>
                <w:rFonts w:ascii="Arial" w:hAnsi="Arial" w:cs="Arial"/>
                <w:bCs/>
                <w:color w:val="000000"/>
                <w:sz w:val="18"/>
                <w:szCs w:val="18"/>
                <w:lang w:val="en-GB"/>
              </w:rPr>
            </w:pPr>
            <w:r>
              <w:rPr>
                <w:rFonts w:ascii="Arial" w:hAnsi="Arial"/>
                <w:bCs/>
                <w:color w:val="000000"/>
                <w:sz w:val="18"/>
                <w:szCs w:val="18"/>
                <w:lang w:val="en-GB"/>
              </w:rPr>
              <w:t>(</w:t>
            </w:r>
            <w:r w:rsidR="00BA53D0" w:rsidRPr="00837F64">
              <w:rPr>
                <w:rFonts w:ascii="Arial" w:hAnsi="Arial"/>
                <w:bCs/>
                <w:color w:val="000000"/>
                <w:sz w:val="18"/>
                <w:szCs w:val="18"/>
                <w:lang w:val="en-GB"/>
              </w:rPr>
              <w:t>29</w:t>
            </w:r>
            <w:r>
              <w:rPr>
                <w:rFonts w:ascii="Arial" w:hAnsi="Arial"/>
                <w:bCs/>
                <w:color w:val="000000"/>
                <w:sz w:val="18"/>
                <w:szCs w:val="18"/>
                <w:lang w:val="en-GB"/>
              </w:rPr>
              <w:t>)</w:t>
            </w:r>
          </w:p>
        </w:tc>
        <w:tc>
          <w:tcPr>
            <w:tcW w:w="907" w:type="dxa"/>
            <w:shd w:val="clear" w:color="auto" w:fill="auto"/>
            <w:noWrap/>
            <w:vAlign w:val="bottom"/>
            <w:hideMark/>
          </w:tcPr>
          <w:p w:rsidR="00BA53D0" w:rsidRPr="00837F64" w:rsidRDefault="00BA53D0" w:rsidP="00B523C3">
            <w:pPr>
              <w:jc w:val="right"/>
              <w:rPr>
                <w:rFonts w:ascii="Arial" w:hAnsi="Arial" w:cs="Arial"/>
                <w:color w:val="000000"/>
                <w:sz w:val="18"/>
                <w:szCs w:val="18"/>
                <w:lang w:val="en-GB"/>
              </w:rPr>
            </w:pPr>
            <w:r w:rsidRPr="00837F64">
              <w:rPr>
                <w:rFonts w:ascii="Arial" w:hAnsi="Arial"/>
                <w:color w:val="000000"/>
                <w:sz w:val="18"/>
                <w:szCs w:val="18"/>
                <w:lang w:val="en-GB"/>
              </w:rPr>
              <w:t>44</w:t>
            </w:r>
          </w:p>
        </w:tc>
        <w:tc>
          <w:tcPr>
            <w:tcW w:w="964" w:type="dxa"/>
            <w:shd w:val="clear" w:color="auto" w:fill="auto"/>
            <w:noWrap/>
            <w:vAlign w:val="bottom"/>
            <w:hideMark/>
          </w:tcPr>
          <w:p w:rsidR="00BA53D0" w:rsidRPr="00837F64" w:rsidRDefault="00837F64" w:rsidP="00837F64">
            <w:pPr>
              <w:jc w:val="right"/>
              <w:rPr>
                <w:rFonts w:ascii="Arial" w:hAnsi="Arial" w:cs="Arial"/>
                <w:color w:val="000000"/>
                <w:sz w:val="18"/>
                <w:szCs w:val="18"/>
                <w:lang w:val="en-GB"/>
              </w:rPr>
            </w:pPr>
            <w:r>
              <w:rPr>
                <w:rFonts w:ascii="Arial" w:hAnsi="Arial"/>
                <w:color w:val="000000"/>
                <w:sz w:val="18"/>
                <w:szCs w:val="18"/>
                <w:lang w:val="en-GB"/>
              </w:rPr>
              <w:t>(</w:t>
            </w:r>
            <w:r w:rsidR="00BA53D0" w:rsidRPr="00837F64">
              <w:rPr>
                <w:rFonts w:ascii="Arial" w:hAnsi="Arial"/>
                <w:color w:val="000000"/>
                <w:sz w:val="18"/>
                <w:szCs w:val="18"/>
                <w:lang w:val="en-GB"/>
              </w:rPr>
              <w:t>&gt;100</w:t>
            </w:r>
            <w:r>
              <w:rPr>
                <w:rFonts w:ascii="Arial" w:hAnsi="Arial"/>
                <w:color w:val="000000"/>
                <w:sz w:val="18"/>
                <w:szCs w:val="18"/>
                <w:lang w:val="en-GB"/>
              </w:rPr>
              <w:t>.</w:t>
            </w:r>
            <w:r w:rsidR="00BA53D0" w:rsidRPr="00837F64">
              <w:rPr>
                <w:rFonts w:ascii="Arial" w:hAnsi="Arial"/>
                <w:color w:val="000000"/>
                <w:sz w:val="18"/>
                <w:szCs w:val="18"/>
                <w:lang w:val="en-GB"/>
              </w:rPr>
              <w:t>0</w:t>
            </w:r>
            <w:r>
              <w:rPr>
                <w:rFonts w:ascii="Arial" w:hAnsi="Arial"/>
                <w:color w:val="000000"/>
                <w:sz w:val="18"/>
                <w:szCs w:val="18"/>
                <w:lang w:val="en-GB"/>
              </w:rPr>
              <w:t>)</w:t>
            </w:r>
            <w:r w:rsidR="00BA53D0" w:rsidRPr="00837F64">
              <w:rPr>
                <w:rFonts w:ascii="Arial" w:hAnsi="Arial"/>
                <w:color w:val="000000"/>
                <w:sz w:val="18"/>
                <w:szCs w:val="18"/>
                <w:lang w:val="en-GB"/>
              </w:rPr>
              <w:t>%</w:t>
            </w:r>
          </w:p>
        </w:tc>
        <w:tc>
          <w:tcPr>
            <w:tcW w:w="907" w:type="dxa"/>
            <w:shd w:val="clear" w:color="auto" w:fill="auto"/>
            <w:noWrap/>
            <w:vAlign w:val="bottom"/>
            <w:hideMark/>
          </w:tcPr>
          <w:p w:rsidR="00BA53D0" w:rsidRPr="00837F64" w:rsidRDefault="00837F64" w:rsidP="00837F64">
            <w:pPr>
              <w:jc w:val="right"/>
              <w:rPr>
                <w:rFonts w:ascii="Arial" w:hAnsi="Arial" w:cs="Arial"/>
                <w:bCs/>
                <w:color w:val="000000"/>
                <w:sz w:val="18"/>
                <w:szCs w:val="18"/>
                <w:lang w:val="en-GB"/>
              </w:rPr>
            </w:pPr>
            <w:r>
              <w:rPr>
                <w:rFonts w:ascii="Arial" w:hAnsi="Arial"/>
                <w:bCs/>
                <w:color w:val="000000"/>
                <w:sz w:val="18"/>
                <w:szCs w:val="18"/>
                <w:lang w:val="en-GB"/>
              </w:rPr>
              <w:t>(</w:t>
            </w:r>
            <w:r w:rsidR="00BA53D0" w:rsidRPr="00837F64">
              <w:rPr>
                <w:rFonts w:ascii="Arial" w:hAnsi="Arial"/>
                <w:bCs/>
                <w:color w:val="000000"/>
                <w:sz w:val="18"/>
                <w:szCs w:val="18"/>
                <w:lang w:val="en-GB"/>
              </w:rPr>
              <w:t>140</w:t>
            </w:r>
            <w:r>
              <w:rPr>
                <w:rFonts w:ascii="Arial" w:hAnsi="Arial"/>
                <w:bCs/>
                <w:color w:val="000000"/>
                <w:sz w:val="18"/>
                <w:szCs w:val="18"/>
                <w:lang w:val="en-GB"/>
              </w:rPr>
              <w:t>)</w:t>
            </w:r>
          </w:p>
        </w:tc>
        <w:tc>
          <w:tcPr>
            <w:tcW w:w="907" w:type="dxa"/>
            <w:shd w:val="clear" w:color="auto" w:fill="auto"/>
            <w:noWrap/>
            <w:vAlign w:val="bottom"/>
            <w:hideMark/>
          </w:tcPr>
          <w:p w:rsidR="00BA53D0" w:rsidRPr="00837F64" w:rsidRDefault="00837F64" w:rsidP="00837F64">
            <w:pPr>
              <w:jc w:val="right"/>
              <w:rPr>
                <w:rFonts w:ascii="Arial" w:hAnsi="Arial" w:cs="Arial"/>
                <w:bCs/>
                <w:color w:val="000000"/>
                <w:sz w:val="18"/>
                <w:szCs w:val="18"/>
                <w:lang w:val="en-GB"/>
              </w:rPr>
            </w:pPr>
            <w:r>
              <w:rPr>
                <w:rFonts w:ascii="Arial" w:hAnsi="Arial"/>
                <w:bCs/>
                <w:color w:val="000000"/>
                <w:sz w:val="18"/>
                <w:szCs w:val="18"/>
                <w:lang w:val="en-GB"/>
              </w:rPr>
              <w:t>(</w:t>
            </w:r>
            <w:r w:rsidR="00BA53D0" w:rsidRPr="00837F64">
              <w:rPr>
                <w:rFonts w:ascii="Arial" w:hAnsi="Arial"/>
                <w:bCs/>
                <w:color w:val="000000"/>
                <w:sz w:val="18"/>
                <w:szCs w:val="18"/>
                <w:lang w:val="en-GB"/>
              </w:rPr>
              <w:t>27</w:t>
            </w:r>
            <w:r>
              <w:rPr>
                <w:rFonts w:ascii="Arial" w:hAnsi="Arial"/>
                <w:bCs/>
                <w:color w:val="000000"/>
                <w:sz w:val="18"/>
                <w:szCs w:val="18"/>
                <w:lang w:val="en-GB"/>
              </w:rPr>
              <w:t>)</w:t>
            </w:r>
          </w:p>
        </w:tc>
        <w:tc>
          <w:tcPr>
            <w:tcW w:w="964" w:type="dxa"/>
            <w:shd w:val="clear" w:color="auto" w:fill="auto"/>
            <w:noWrap/>
            <w:vAlign w:val="bottom"/>
            <w:hideMark/>
          </w:tcPr>
          <w:p w:rsidR="00BA53D0" w:rsidRPr="00837F64" w:rsidRDefault="00837F64" w:rsidP="00837F64">
            <w:pPr>
              <w:jc w:val="right"/>
              <w:rPr>
                <w:rFonts w:ascii="Arial" w:hAnsi="Arial" w:cs="Arial"/>
                <w:bCs/>
                <w:color w:val="000000"/>
                <w:sz w:val="18"/>
                <w:szCs w:val="18"/>
                <w:lang w:val="en-GB"/>
              </w:rPr>
            </w:pPr>
            <w:r>
              <w:rPr>
                <w:rFonts w:ascii="Arial" w:hAnsi="Arial"/>
                <w:bCs/>
                <w:color w:val="000000"/>
                <w:sz w:val="18"/>
                <w:szCs w:val="18"/>
                <w:lang w:val="en-GB"/>
              </w:rPr>
              <w:t>(</w:t>
            </w:r>
            <w:r w:rsidR="00BA53D0" w:rsidRPr="00837F64">
              <w:rPr>
                <w:rFonts w:ascii="Arial" w:hAnsi="Arial"/>
                <w:bCs/>
                <w:color w:val="000000"/>
                <w:sz w:val="18"/>
                <w:szCs w:val="18"/>
                <w:lang w:val="en-GB"/>
              </w:rPr>
              <w:t>&gt;100</w:t>
            </w:r>
            <w:r>
              <w:rPr>
                <w:rFonts w:ascii="Arial" w:hAnsi="Arial"/>
                <w:bCs/>
                <w:color w:val="000000"/>
                <w:sz w:val="18"/>
                <w:szCs w:val="18"/>
                <w:lang w:val="en-GB"/>
              </w:rPr>
              <w:t>.</w:t>
            </w:r>
            <w:r w:rsidR="00BA53D0" w:rsidRPr="00837F64">
              <w:rPr>
                <w:rFonts w:ascii="Arial" w:hAnsi="Arial"/>
                <w:bCs/>
                <w:color w:val="000000"/>
                <w:sz w:val="18"/>
                <w:szCs w:val="18"/>
                <w:lang w:val="en-GB"/>
              </w:rPr>
              <w:t>0</w:t>
            </w:r>
            <w:r>
              <w:rPr>
                <w:rFonts w:ascii="Arial" w:hAnsi="Arial"/>
                <w:bCs/>
                <w:color w:val="000000"/>
                <w:sz w:val="18"/>
                <w:szCs w:val="18"/>
                <w:lang w:val="en-GB"/>
              </w:rPr>
              <w:t>)</w:t>
            </w:r>
            <w:r w:rsidR="00BA53D0" w:rsidRPr="00837F64">
              <w:rPr>
                <w:rFonts w:ascii="Arial" w:hAnsi="Arial"/>
                <w:bCs/>
                <w:color w:val="000000"/>
                <w:sz w:val="18"/>
                <w:szCs w:val="18"/>
                <w:lang w:val="en-GB"/>
              </w:rPr>
              <w:t>%</w:t>
            </w:r>
          </w:p>
        </w:tc>
      </w:tr>
      <w:tr w:rsidR="00BA53D0" w:rsidRPr="00837F64" w:rsidTr="00B523C3">
        <w:trPr>
          <w:trHeight w:val="255"/>
        </w:trPr>
        <w:tc>
          <w:tcPr>
            <w:tcW w:w="3114" w:type="dxa"/>
            <w:noWrap/>
            <w:vAlign w:val="center"/>
            <w:hideMark/>
          </w:tcPr>
          <w:p w:rsidR="00BA53D0" w:rsidRPr="00837F64" w:rsidRDefault="00837F64" w:rsidP="00837F64">
            <w:pPr>
              <w:rPr>
                <w:rFonts w:ascii="Arial" w:hAnsi="Arial" w:cs="Arial"/>
                <w:color w:val="000000"/>
                <w:sz w:val="20"/>
                <w:szCs w:val="20"/>
                <w:lang w:val="en-GB"/>
              </w:rPr>
            </w:pPr>
            <w:r w:rsidRPr="00837F64">
              <w:rPr>
                <w:rFonts w:ascii="Arial" w:hAnsi="Arial"/>
                <w:sz w:val="18"/>
                <w:lang w:val="en-GB"/>
              </w:rPr>
              <w:t>Capital expenditure [€ million]</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70</w:t>
            </w:r>
          </w:p>
        </w:tc>
        <w:tc>
          <w:tcPr>
            <w:tcW w:w="907" w:type="dxa"/>
            <w:shd w:val="clear" w:color="auto" w:fill="auto"/>
            <w:noWrap/>
            <w:vAlign w:val="bottom"/>
            <w:hideMark/>
          </w:tcPr>
          <w:p w:rsidR="00BA53D0" w:rsidRPr="00837F64" w:rsidRDefault="00BA53D0" w:rsidP="00B523C3">
            <w:pPr>
              <w:jc w:val="right"/>
              <w:rPr>
                <w:rFonts w:ascii="Arial" w:hAnsi="Arial" w:cs="Arial"/>
                <w:sz w:val="18"/>
                <w:szCs w:val="18"/>
                <w:lang w:val="en-GB"/>
              </w:rPr>
            </w:pPr>
            <w:r w:rsidRPr="00837F64">
              <w:rPr>
                <w:rFonts w:ascii="Arial" w:hAnsi="Arial"/>
                <w:sz w:val="18"/>
                <w:szCs w:val="18"/>
                <w:lang w:val="en-GB"/>
              </w:rPr>
              <w:t>69</w:t>
            </w:r>
          </w:p>
        </w:tc>
        <w:tc>
          <w:tcPr>
            <w:tcW w:w="964" w:type="dxa"/>
            <w:shd w:val="clear" w:color="auto" w:fill="auto"/>
            <w:noWrap/>
            <w:vAlign w:val="bottom"/>
            <w:hideMark/>
          </w:tcPr>
          <w:p w:rsidR="00BA53D0" w:rsidRPr="00837F64" w:rsidRDefault="00BA53D0" w:rsidP="00837F64">
            <w:pPr>
              <w:jc w:val="right"/>
              <w:rPr>
                <w:rFonts w:ascii="Arial" w:hAnsi="Arial" w:cs="Arial"/>
                <w:color w:val="000000"/>
                <w:sz w:val="18"/>
                <w:szCs w:val="18"/>
                <w:lang w:val="en-GB"/>
              </w:rPr>
            </w:pPr>
            <w:r w:rsidRPr="00837F64">
              <w:rPr>
                <w:rFonts w:ascii="Arial" w:hAnsi="Arial"/>
                <w:color w:val="000000"/>
                <w:sz w:val="18"/>
                <w:szCs w:val="18"/>
                <w:lang w:val="en-GB"/>
              </w:rPr>
              <w:t>0</w:t>
            </w:r>
            <w:r w:rsidR="00837F64">
              <w:rPr>
                <w:rFonts w:ascii="Arial" w:hAnsi="Arial"/>
                <w:color w:val="000000"/>
                <w:sz w:val="18"/>
                <w:szCs w:val="18"/>
                <w:lang w:val="en-GB"/>
              </w:rPr>
              <w:t>.</w:t>
            </w:r>
            <w:r w:rsidRPr="00837F64">
              <w:rPr>
                <w:rFonts w:ascii="Arial" w:hAnsi="Arial"/>
                <w:color w:val="000000"/>
                <w:sz w:val="18"/>
                <w:szCs w:val="18"/>
                <w:lang w:val="en-GB"/>
              </w:rPr>
              <w:t>6%</w:t>
            </w:r>
          </w:p>
        </w:tc>
        <w:tc>
          <w:tcPr>
            <w:tcW w:w="907"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127</w:t>
            </w:r>
          </w:p>
        </w:tc>
        <w:tc>
          <w:tcPr>
            <w:tcW w:w="907" w:type="dxa"/>
            <w:shd w:val="clear" w:color="auto" w:fill="auto"/>
            <w:noWrap/>
            <w:vAlign w:val="bottom"/>
            <w:hideMark/>
          </w:tcPr>
          <w:p w:rsidR="00BA53D0" w:rsidRPr="002441DF" w:rsidRDefault="00BA53D0" w:rsidP="00B523C3">
            <w:pPr>
              <w:jc w:val="right"/>
              <w:rPr>
                <w:rFonts w:ascii="Arial" w:hAnsi="Arial" w:cs="Arial"/>
                <w:bCs/>
                <w:color w:val="000000"/>
                <w:sz w:val="18"/>
                <w:szCs w:val="18"/>
              </w:rPr>
            </w:pPr>
            <w:r>
              <w:rPr>
                <w:rFonts w:ascii="Arial" w:hAnsi="Arial"/>
                <w:bCs/>
                <w:color w:val="000000"/>
                <w:sz w:val="18"/>
                <w:szCs w:val="18"/>
              </w:rPr>
              <w:t>116</w:t>
            </w:r>
          </w:p>
        </w:tc>
        <w:tc>
          <w:tcPr>
            <w:tcW w:w="964" w:type="dxa"/>
            <w:shd w:val="clear" w:color="auto" w:fill="auto"/>
            <w:noWrap/>
            <w:vAlign w:val="bottom"/>
            <w:hideMark/>
          </w:tcPr>
          <w:p w:rsidR="00BA53D0" w:rsidRPr="00837F64" w:rsidRDefault="00BA53D0" w:rsidP="00837F64">
            <w:pPr>
              <w:jc w:val="right"/>
              <w:rPr>
                <w:rFonts w:ascii="Arial" w:hAnsi="Arial" w:cs="Arial"/>
                <w:bCs/>
                <w:color w:val="000000"/>
                <w:sz w:val="18"/>
                <w:szCs w:val="18"/>
                <w:lang w:val="en-GB"/>
              </w:rPr>
            </w:pPr>
            <w:r w:rsidRPr="00837F64">
              <w:rPr>
                <w:rFonts w:ascii="Arial" w:hAnsi="Arial"/>
                <w:bCs/>
                <w:color w:val="000000"/>
                <w:sz w:val="18"/>
                <w:szCs w:val="18"/>
                <w:lang w:val="en-GB"/>
              </w:rPr>
              <w:t>9</w:t>
            </w:r>
            <w:r w:rsidR="00837F64" w:rsidRPr="00837F64">
              <w:rPr>
                <w:rFonts w:ascii="Arial" w:hAnsi="Arial"/>
                <w:bCs/>
                <w:color w:val="000000"/>
                <w:sz w:val="18"/>
                <w:szCs w:val="18"/>
                <w:lang w:val="en-GB"/>
              </w:rPr>
              <w:t>.</w:t>
            </w:r>
            <w:r w:rsidRPr="00837F64">
              <w:rPr>
                <w:rFonts w:ascii="Arial" w:hAnsi="Arial"/>
                <w:bCs/>
                <w:color w:val="000000"/>
                <w:sz w:val="18"/>
                <w:szCs w:val="18"/>
                <w:lang w:val="en-GB"/>
              </w:rPr>
              <w:t>3%</w:t>
            </w:r>
          </w:p>
        </w:tc>
      </w:tr>
      <w:tr w:rsidR="00BA53D0" w:rsidRPr="00837F64" w:rsidTr="00B523C3">
        <w:trPr>
          <w:trHeight w:val="255"/>
        </w:trPr>
        <w:tc>
          <w:tcPr>
            <w:tcW w:w="3114" w:type="dxa"/>
            <w:noWrap/>
            <w:vAlign w:val="center"/>
            <w:hideMark/>
          </w:tcPr>
          <w:p w:rsidR="00BA53D0" w:rsidRPr="00837F64" w:rsidRDefault="00BA53D0" w:rsidP="00837F64">
            <w:pPr>
              <w:rPr>
                <w:rFonts w:ascii="Arial" w:hAnsi="Arial" w:cs="Arial"/>
                <w:color w:val="000000"/>
                <w:sz w:val="20"/>
                <w:szCs w:val="20"/>
                <w:lang w:val="en-GB"/>
              </w:rPr>
            </w:pPr>
            <w:r w:rsidRPr="00837F64">
              <w:rPr>
                <w:rFonts w:ascii="Arial" w:hAnsi="Arial"/>
                <w:sz w:val="18"/>
                <w:szCs w:val="18"/>
                <w:lang w:val="en-GB"/>
              </w:rPr>
              <w:t>E</w:t>
            </w:r>
            <w:r w:rsidR="00837F64" w:rsidRPr="00837F64">
              <w:rPr>
                <w:rFonts w:ascii="Arial" w:hAnsi="Arial"/>
                <w:sz w:val="18"/>
                <w:szCs w:val="18"/>
                <w:lang w:val="en-GB"/>
              </w:rPr>
              <w:t xml:space="preserve">quity ratio </w:t>
            </w:r>
            <w:r w:rsidRPr="00837F64">
              <w:rPr>
                <w:rFonts w:ascii="Arial" w:hAnsi="Arial"/>
                <w:sz w:val="18"/>
                <w:szCs w:val="18"/>
                <w:lang w:val="en-GB"/>
              </w:rPr>
              <w:t>[%]</w:t>
            </w:r>
          </w:p>
        </w:tc>
        <w:tc>
          <w:tcPr>
            <w:tcW w:w="907" w:type="dxa"/>
            <w:shd w:val="clear" w:color="auto" w:fill="auto"/>
            <w:noWrap/>
            <w:vAlign w:val="bottom"/>
            <w:hideMark/>
          </w:tcPr>
          <w:p w:rsidR="00BA53D0" w:rsidRPr="00837F64" w:rsidRDefault="00BA53D0" w:rsidP="00837F64">
            <w:pPr>
              <w:jc w:val="right"/>
              <w:rPr>
                <w:rFonts w:ascii="Arial" w:hAnsi="Arial" w:cs="Arial"/>
                <w:bCs/>
                <w:color w:val="000000"/>
                <w:sz w:val="18"/>
                <w:szCs w:val="18"/>
                <w:lang w:val="en-GB"/>
              </w:rPr>
            </w:pPr>
            <w:r w:rsidRPr="00837F64">
              <w:rPr>
                <w:rFonts w:ascii="Arial" w:hAnsi="Arial"/>
                <w:bCs/>
                <w:color w:val="000000"/>
                <w:sz w:val="18"/>
                <w:szCs w:val="18"/>
                <w:lang w:val="en-GB"/>
              </w:rPr>
              <w:t>32</w:t>
            </w:r>
            <w:r w:rsidR="00837F64" w:rsidRPr="00837F64">
              <w:rPr>
                <w:rFonts w:ascii="Arial" w:hAnsi="Arial"/>
                <w:bCs/>
                <w:color w:val="000000"/>
                <w:sz w:val="18"/>
                <w:szCs w:val="18"/>
                <w:lang w:val="en-GB"/>
              </w:rPr>
              <w:t>.</w:t>
            </w:r>
            <w:r w:rsidRPr="00837F64">
              <w:rPr>
                <w:rFonts w:ascii="Arial" w:hAnsi="Arial"/>
                <w:bCs/>
                <w:color w:val="000000"/>
                <w:sz w:val="18"/>
                <w:szCs w:val="18"/>
                <w:lang w:val="en-GB"/>
              </w:rPr>
              <w:t>2</w:t>
            </w:r>
          </w:p>
        </w:tc>
        <w:tc>
          <w:tcPr>
            <w:tcW w:w="907" w:type="dxa"/>
            <w:shd w:val="clear" w:color="auto" w:fill="auto"/>
            <w:noWrap/>
            <w:vAlign w:val="bottom"/>
            <w:hideMark/>
          </w:tcPr>
          <w:p w:rsidR="00BA53D0" w:rsidRPr="00837F64" w:rsidRDefault="00BA53D0" w:rsidP="00837F64">
            <w:pPr>
              <w:jc w:val="right"/>
              <w:rPr>
                <w:rFonts w:ascii="Arial" w:hAnsi="Arial" w:cs="Arial"/>
                <w:sz w:val="18"/>
                <w:szCs w:val="18"/>
                <w:lang w:val="en-GB"/>
              </w:rPr>
            </w:pPr>
            <w:r w:rsidRPr="00837F64">
              <w:rPr>
                <w:rFonts w:ascii="Arial" w:hAnsi="Arial"/>
                <w:sz w:val="18"/>
                <w:szCs w:val="18"/>
                <w:lang w:val="en-GB"/>
              </w:rPr>
              <w:t>32</w:t>
            </w:r>
            <w:r w:rsidR="00837F64">
              <w:rPr>
                <w:rFonts w:ascii="Arial" w:hAnsi="Arial"/>
                <w:sz w:val="18"/>
                <w:szCs w:val="18"/>
                <w:lang w:val="en-GB"/>
              </w:rPr>
              <w:t>.</w:t>
            </w:r>
            <w:r w:rsidRPr="00837F64">
              <w:rPr>
                <w:rFonts w:ascii="Arial" w:hAnsi="Arial"/>
                <w:sz w:val="18"/>
                <w:szCs w:val="18"/>
                <w:lang w:val="en-GB"/>
              </w:rPr>
              <w:t>4</w:t>
            </w:r>
          </w:p>
        </w:tc>
        <w:tc>
          <w:tcPr>
            <w:tcW w:w="964" w:type="dxa"/>
            <w:shd w:val="clear" w:color="auto" w:fill="auto"/>
            <w:noWrap/>
            <w:vAlign w:val="bottom"/>
            <w:hideMark/>
          </w:tcPr>
          <w:p w:rsidR="00BA53D0" w:rsidRPr="00837F64" w:rsidRDefault="00BA53D0" w:rsidP="00B523C3">
            <w:pPr>
              <w:jc w:val="right"/>
              <w:rPr>
                <w:rFonts w:ascii="Arial" w:hAnsi="Arial" w:cs="Arial"/>
                <w:color w:val="000000"/>
                <w:sz w:val="18"/>
                <w:szCs w:val="18"/>
                <w:lang w:val="en-GB"/>
              </w:rPr>
            </w:pPr>
            <w:r w:rsidRPr="00837F64">
              <w:rPr>
                <w:rFonts w:ascii="Arial" w:hAnsi="Arial"/>
                <w:color w:val="000000"/>
                <w:sz w:val="18"/>
                <w:szCs w:val="18"/>
                <w:lang w:val="en-GB"/>
              </w:rPr>
              <w:t>---</w:t>
            </w:r>
          </w:p>
        </w:tc>
        <w:tc>
          <w:tcPr>
            <w:tcW w:w="907" w:type="dxa"/>
            <w:shd w:val="clear" w:color="auto" w:fill="auto"/>
            <w:noWrap/>
            <w:vAlign w:val="bottom"/>
            <w:hideMark/>
          </w:tcPr>
          <w:p w:rsidR="00BA53D0" w:rsidRPr="00837F64" w:rsidRDefault="00BA53D0" w:rsidP="00837F64">
            <w:pPr>
              <w:jc w:val="right"/>
              <w:rPr>
                <w:rFonts w:ascii="Arial" w:hAnsi="Arial" w:cs="Arial"/>
                <w:bCs/>
                <w:color w:val="000000"/>
                <w:sz w:val="18"/>
                <w:szCs w:val="18"/>
                <w:lang w:val="en-GB"/>
              </w:rPr>
            </w:pPr>
            <w:r w:rsidRPr="00837F64">
              <w:rPr>
                <w:rFonts w:ascii="Arial" w:hAnsi="Arial"/>
                <w:bCs/>
                <w:color w:val="000000"/>
                <w:sz w:val="18"/>
                <w:szCs w:val="18"/>
                <w:lang w:val="en-GB"/>
              </w:rPr>
              <w:t>32</w:t>
            </w:r>
            <w:r w:rsidR="00837F64">
              <w:rPr>
                <w:rFonts w:ascii="Arial" w:hAnsi="Arial"/>
                <w:bCs/>
                <w:color w:val="000000"/>
                <w:sz w:val="18"/>
                <w:szCs w:val="18"/>
                <w:lang w:val="en-GB"/>
              </w:rPr>
              <w:t>.</w:t>
            </w:r>
            <w:r w:rsidRPr="00837F64">
              <w:rPr>
                <w:rFonts w:ascii="Arial" w:hAnsi="Arial"/>
                <w:bCs/>
                <w:color w:val="000000"/>
                <w:sz w:val="18"/>
                <w:szCs w:val="18"/>
                <w:lang w:val="en-GB"/>
              </w:rPr>
              <w:t>2</w:t>
            </w:r>
          </w:p>
        </w:tc>
        <w:tc>
          <w:tcPr>
            <w:tcW w:w="907" w:type="dxa"/>
            <w:shd w:val="clear" w:color="auto" w:fill="auto"/>
            <w:noWrap/>
            <w:vAlign w:val="bottom"/>
            <w:hideMark/>
          </w:tcPr>
          <w:p w:rsidR="00BA53D0" w:rsidRPr="00837F64" w:rsidRDefault="00BA53D0" w:rsidP="00837F64">
            <w:pPr>
              <w:jc w:val="right"/>
              <w:rPr>
                <w:rFonts w:ascii="Arial" w:hAnsi="Arial" w:cs="Arial"/>
                <w:bCs/>
                <w:color w:val="000000"/>
                <w:sz w:val="18"/>
                <w:szCs w:val="18"/>
                <w:lang w:val="en-GB"/>
              </w:rPr>
            </w:pPr>
            <w:r w:rsidRPr="00837F64">
              <w:rPr>
                <w:rFonts w:ascii="Arial" w:hAnsi="Arial"/>
                <w:bCs/>
                <w:color w:val="000000"/>
                <w:sz w:val="18"/>
                <w:szCs w:val="18"/>
                <w:lang w:val="en-GB"/>
              </w:rPr>
              <w:t>32</w:t>
            </w:r>
            <w:r w:rsidR="00837F64">
              <w:rPr>
                <w:rFonts w:ascii="Arial" w:hAnsi="Arial"/>
                <w:bCs/>
                <w:color w:val="000000"/>
                <w:sz w:val="18"/>
                <w:szCs w:val="18"/>
                <w:lang w:val="en-GB"/>
              </w:rPr>
              <w:t>.</w:t>
            </w:r>
            <w:r w:rsidRPr="00837F64">
              <w:rPr>
                <w:rFonts w:ascii="Arial" w:hAnsi="Arial"/>
                <w:bCs/>
                <w:color w:val="000000"/>
                <w:sz w:val="18"/>
                <w:szCs w:val="18"/>
                <w:lang w:val="en-GB"/>
              </w:rPr>
              <w:t>4</w:t>
            </w:r>
          </w:p>
        </w:tc>
        <w:tc>
          <w:tcPr>
            <w:tcW w:w="964" w:type="dxa"/>
            <w:shd w:val="clear" w:color="auto" w:fill="auto"/>
            <w:noWrap/>
            <w:vAlign w:val="bottom"/>
            <w:hideMark/>
          </w:tcPr>
          <w:p w:rsidR="00BA53D0" w:rsidRPr="00837F64" w:rsidRDefault="00BA53D0" w:rsidP="00B523C3">
            <w:pPr>
              <w:jc w:val="right"/>
              <w:rPr>
                <w:rFonts w:ascii="Arial" w:hAnsi="Arial" w:cs="Arial"/>
                <w:bCs/>
                <w:color w:val="000000"/>
                <w:sz w:val="18"/>
                <w:szCs w:val="18"/>
                <w:lang w:val="en-GB"/>
              </w:rPr>
            </w:pPr>
            <w:r w:rsidRPr="00837F64">
              <w:rPr>
                <w:rFonts w:ascii="Arial" w:hAnsi="Arial"/>
                <w:bCs/>
                <w:color w:val="000000"/>
                <w:sz w:val="18"/>
                <w:szCs w:val="18"/>
                <w:lang w:val="en-GB"/>
              </w:rPr>
              <w:t>---</w:t>
            </w:r>
          </w:p>
        </w:tc>
      </w:tr>
      <w:tr w:rsidR="00BA53D0" w:rsidRPr="00837F64" w:rsidTr="00B523C3">
        <w:trPr>
          <w:trHeight w:val="300"/>
        </w:trPr>
        <w:tc>
          <w:tcPr>
            <w:tcW w:w="3114" w:type="dxa"/>
            <w:noWrap/>
            <w:vAlign w:val="center"/>
            <w:hideMark/>
          </w:tcPr>
          <w:p w:rsidR="00BA53D0" w:rsidRPr="00837F64" w:rsidRDefault="00837F64" w:rsidP="00837F64">
            <w:pPr>
              <w:rPr>
                <w:rFonts w:ascii="Arial" w:hAnsi="Arial" w:cs="Arial"/>
                <w:color w:val="000000"/>
                <w:sz w:val="20"/>
                <w:szCs w:val="20"/>
                <w:lang w:val="en-GB"/>
              </w:rPr>
            </w:pPr>
            <w:r w:rsidRPr="00837F64">
              <w:rPr>
                <w:rFonts w:ascii="Arial" w:hAnsi="Arial"/>
                <w:sz w:val="18"/>
                <w:lang w:val="en-GB"/>
              </w:rPr>
              <w:t>Employees (as at 30 June)</w:t>
            </w:r>
            <w:r>
              <w:rPr>
                <w:rFonts w:ascii="Arial" w:hAnsi="Arial"/>
                <w:sz w:val="18"/>
                <w:lang w:val="en-GB"/>
              </w:rPr>
              <w:t xml:space="preserve"> </w:t>
            </w:r>
            <w:r w:rsidRPr="00837F64">
              <w:rPr>
                <w:rFonts w:ascii="Arial" w:hAnsi="Arial"/>
                <w:sz w:val="18"/>
                <w:szCs w:val="18"/>
                <w:lang w:val="en-GB"/>
              </w:rPr>
              <w:t>[</w:t>
            </w:r>
            <w:r>
              <w:rPr>
                <w:rFonts w:ascii="Arial" w:hAnsi="Arial"/>
                <w:sz w:val="18"/>
                <w:szCs w:val="18"/>
                <w:lang w:val="en-GB"/>
              </w:rPr>
              <w:t>number</w:t>
            </w:r>
            <w:r w:rsidRPr="00837F64">
              <w:rPr>
                <w:rFonts w:ascii="Arial" w:hAnsi="Arial"/>
                <w:sz w:val="18"/>
                <w:szCs w:val="18"/>
                <w:lang w:val="en-GB"/>
              </w:rPr>
              <w:t>]</w:t>
            </w:r>
          </w:p>
        </w:tc>
        <w:tc>
          <w:tcPr>
            <w:tcW w:w="907" w:type="dxa"/>
            <w:shd w:val="clear" w:color="auto" w:fill="auto"/>
            <w:noWrap/>
            <w:vAlign w:val="bottom"/>
            <w:hideMark/>
          </w:tcPr>
          <w:p w:rsidR="00BA53D0" w:rsidRPr="00837F64" w:rsidRDefault="00BA53D0" w:rsidP="0021396F">
            <w:pPr>
              <w:jc w:val="right"/>
              <w:rPr>
                <w:rFonts w:ascii="Arial" w:hAnsi="Arial" w:cs="Arial"/>
                <w:bCs/>
                <w:color w:val="000000"/>
                <w:sz w:val="18"/>
                <w:szCs w:val="18"/>
                <w:lang w:val="en-GB"/>
              </w:rPr>
            </w:pPr>
            <w:r w:rsidRPr="00837F64">
              <w:rPr>
                <w:rFonts w:ascii="Arial" w:hAnsi="Arial"/>
                <w:bCs/>
                <w:color w:val="000000"/>
                <w:sz w:val="18"/>
                <w:szCs w:val="18"/>
                <w:lang w:val="en-GB"/>
              </w:rPr>
              <w:t>87</w:t>
            </w:r>
            <w:r w:rsidR="0021396F">
              <w:rPr>
                <w:rFonts w:ascii="Arial" w:hAnsi="Arial"/>
                <w:bCs/>
                <w:color w:val="000000"/>
                <w:sz w:val="18"/>
                <w:szCs w:val="18"/>
                <w:lang w:val="en-GB"/>
              </w:rPr>
              <w:t>,</w:t>
            </w:r>
            <w:r w:rsidRPr="00837F64">
              <w:rPr>
                <w:rFonts w:ascii="Arial" w:hAnsi="Arial"/>
                <w:bCs/>
                <w:color w:val="000000"/>
                <w:sz w:val="18"/>
                <w:szCs w:val="18"/>
                <w:lang w:val="en-GB"/>
              </w:rPr>
              <w:t>666</w:t>
            </w:r>
          </w:p>
        </w:tc>
        <w:tc>
          <w:tcPr>
            <w:tcW w:w="907" w:type="dxa"/>
            <w:shd w:val="clear" w:color="auto" w:fill="auto"/>
            <w:noWrap/>
            <w:vAlign w:val="bottom"/>
            <w:hideMark/>
          </w:tcPr>
          <w:p w:rsidR="00BA53D0" w:rsidRPr="00837F64" w:rsidRDefault="00BA53D0" w:rsidP="0021396F">
            <w:pPr>
              <w:jc w:val="right"/>
              <w:rPr>
                <w:rFonts w:ascii="Arial" w:hAnsi="Arial" w:cs="Arial"/>
                <w:color w:val="000000"/>
                <w:sz w:val="18"/>
                <w:szCs w:val="18"/>
                <w:lang w:val="en-GB"/>
              </w:rPr>
            </w:pPr>
            <w:r w:rsidRPr="00837F64">
              <w:rPr>
                <w:rFonts w:ascii="Arial" w:hAnsi="Arial"/>
                <w:color w:val="000000"/>
                <w:sz w:val="18"/>
                <w:szCs w:val="18"/>
                <w:lang w:val="en-GB"/>
              </w:rPr>
              <w:t>81</w:t>
            </w:r>
            <w:r w:rsidR="0021396F">
              <w:rPr>
                <w:rFonts w:ascii="Arial" w:hAnsi="Arial"/>
                <w:color w:val="000000"/>
                <w:sz w:val="18"/>
                <w:szCs w:val="18"/>
                <w:lang w:val="en-GB"/>
              </w:rPr>
              <w:t>,</w:t>
            </w:r>
            <w:r w:rsidRPr="00837F64">
              <w:rPr>
                <w:rFonts w:ascii="Arial" w:hAnsi="Arial"/>
                <w:color w:val="000000"/>
                <w:sz w:val="18"/>
                <w:szCs w:val="18"/>
                <w:lang w:val="en-GB"/>
              </w:rPr>
              <w:t>581</w:t>
            </w:r>
          </w:p>
        </w:tc>
        <w:tc>
          <w:tcPr>
            <w:tcW w:w="964" w:type="dxa"/>
            <w:shd w:val="clear" w:color="auto" w:fill="auto"/>
            <w:noWrap/>
            <w:vAlign w:val="bottom"/>
            <w:hideMark/>
          </w:tcPr>
          <w:p w:rsidR="00BA53D0" w:rsidRPr="00837F64" w:rsidRDefault="00BA53D0" w:rsidP="00837F64">
            <w:pPr>
              <w:jc w:val="right"/>
              <w:rPr>
                <w:rFonts w:ascii="Arial" w:hAnsi="Arial" w:cs="Arial"/>
                <w:color w:val="000000"/>
                <w:sz w:val="18"/>
                <w:szCs w:val="18"/>
                <w:lang w:val="en-GB"/>
              </w:rPr>
            </w:pPr>
            <w:r w:rsidRPr="00837F64">
              <w:rPr>
                <w:rFonts w:ascii="Arial" w:hAnsi="Arial"/>
                <w:color w:val="000000"/>
                <w:sz w:val="18"/>
                <w:szCs w:val="18"/>
                <w:lang w:val="en-GB"/>
              </w:rPr>
              <w:t>7</w:t>
            </w:r>
            <w:r w:rsidR="00837F64">
              <w:rPr>
                <w:rFonts w:ascii="Arial" w:hAnsi="Arial"/>
                <w:color w:val="000000"/>
                <w:sz w:val="18"/>
                <w:szCs w:val="18"/>
                <w:lang w:val="en-GB"/>
              </w:rPr>
              <w:t>.</w:t>
            </w:r>
            <w:r w:rsidRPr="00837F64">
              <w:rPr>
                <w:rFonts w:ascii="Arial" w:hAnsi="Arial"/>
                <w:color w:val="000000"/>
                <w:sz w:val="18"/>
                <w:szCs w:val="18"/>
                <w:lang w:val="en-GB"/>
              </w:rPr>
              <w:t>5%</w:t>
            </w:r>
          </w:p>
        </w:tc>
        <w:tc>
          <w:tcPr>
            <w:tcW w:w="907" w:type="dxa"/>
            <w:shd w:val="clear" w:color="auto" w:fill="auto"/>
            <w:noWrap/>
            <w:vAlign w:val="bottom"/>
            <w:hideMark/>
          </w:tcPr>
          <w:p w:rsidR="00BA53D0" w:rsidRPr="00837F64" w:rsidRDefault="00BA53D0" w:rsidP="0021396F">
            <w:pPr>
              <w:jc w:val="right"/>
              <w:rPr>
                <w:rFonts w:ascii="Arial" w:hAnsi="Arial" w:cs="Arial"/>
                <w:bCs/>
                <w:color w:val="000000"/>
                <w:sz w:val="18"/>
                <w:szCs w:val="18"/>
                <w:lang w:val="en-GB"/>
              </w:rPr>
            </w:pPr>
            <w:r w:rsidRPr="00837F64">
              <w:rPr>
                <w:rFonts w:ascii="Arial" w:hAnsi="Arial"/>
                <w:bCs/>
                <w:color w:val="000000"/>
                <w:sz w:val="18"/>
                <w:szCs w:val="18"/>
                <w:lang w:val="en-GB"/>
              </w:rPr>
              <w:t>87</w:t>
            </w:r>
            <w:r w:rsidR="0021396F">
              <w:rPr>
                <w:rFonts w:ascii="Arial" w:hAnsi="Arial"/>
                <w:bCs/>
                <w:color w:val="000000"/>
                <w:sz w:val="18"/>
                <w:szCs w:val="18"/>
                <w:lang w:val="en-GB"/>
              </w:rPr>
              <w:t>,</w:t>
            </w:r>
            <w:r w:rsidRPr="00837F64">
              <w:rPr>
                <w:rFonts w:ascii="Arial" w:hAnsi="Arial"/>
                <w:bCs/>
                <w:color w:val="000000"/>
                <w:sz w:val="18"/>
                <w:szCs w:val="18"/>
                <w:lang w:val="en-GB"/>
              </w:rPr>
              <w:t>666</w:t>
            </w:r>
          </w:p>
        </w:tc>
        <w:tc>
          <w:tcPr>
            <w:tcW w:w="907" w:type="dxa"/>
            <w:shd w:val="clear" w:color="auto" w:fill="auto"/>
            <w:noWrap/>
            <w:vAlign w:val="bottom"/>
            <w:hideMark/>
          </w:tcPr>
          <w:p w:rsidR="00BA53D0" w:rsidRPr="00837F64" w:rsidRDefault="00BA53D0" w:rsidP="0021396F">
            <w:pPr>
              <w:jc w:val="right"/>
              <w:rPr>
                <w:rFonts w:ascii="Arial" w:hAnsi="Arial" w:cs="Arial"/>
                <w:bCs/>
                <w:color w:val="000000"/>
                <w:sz w:val="18"/>
                <w:szCs w:val="18"/>
                <w:lang w:val="en-GB"/>
              </w:rPr>
            </w:pPr>
            <w:r w:rsidRPr="00837F64">
              <w:rPr>
                <w:rFonts w:ascii="Arial" w:hAnsi="Arial"/>
                <w:bCs/>
                <w:color w:val="000000"/>
                <w:sz w:val="18"/>
                <w:szCs w:val="18"/>
                <w:lang w:val="en-GB"/>
              </w:rPr>
              <w:t>81</w:t>
            </w:r>
            <w:r w:rsidR="0021396F">
              <w:rPr>
                <w:rFonts w:ascii="Arial" w:hAnsi="Arial"/>
                <w:bCs/>
                <w:color w:val="000000"/>
                <w:sz w:val="18"/>
                <w:szCs w:val="18"/>
                <w:lang w:val="en-GB"/>
              </w:rPr>
              <w:t>,</w:t>
            </w:r>
            <w:r w:rsidRPr="00837F64">
              <w:rPr>
                <w:rFonts w:ascii="Arial" w:hAnsi="Arial"/>
                <w:bCs/>
                <w:color w:val="000000"/>
                <w:sz w:val="18"/>
                <w:szCs w:val="18"/>
                <w:lang w:val="en-GB"/>
              </w:rPr>
              <w:t>581</w:t>
            </w:r>
          </w:p>
        </w:tc>
        <w:tc>
          <w:tcPr>
            <w:tcW w:w="964" w:type="dxa"/>
            <w:shd w:val="clear" w:color="auto" w:fill="auto"/>
            <w:noWrap/>
            <w:vAlign w:val="bottom"/>
            <w:hideMark/>
          </w:tcPr>
          <w:p w:rsidR="00BA53D0" w:rsidRPr="00837F64" w:rsidRDefault="00BA53D0" w:rsidP="00837F64">
            <w:pPr>
              <w:jc w:val="right"/>
              <w:rPr>
                <w:rFonts w:ascii="Arial" w:hAnsi="Arial" w:cs="Arial"/>
                <w:bCs/>
                <w:color w:val="000000"/>
                <w:sz w:val="18"/>
                <w:szCs w:val="18"/>
                <w:lang w:val="en-GB"/>
              </w:rPr>
            </w:pPr>
            <w:r w:rsidRPr="00837F64">
              <w:rPr>
                <w:rFonts w:ascii="Arial" w:hAnsi="Arial"/>
                <w:bCs/>
                <w:color w:val="000000"/>
                <w:sz w:val="18"/>
                <w:szCs w:val="18"/>
                <w:lang w:val="en-GB"/>
              </w:rPr>
              <w:t>7</w:t>
            </w:r>
            <w:r w:rsidR="00837F64">
              <w:rPr>
                <w:rFonts w:ascii="Arial" w:hAnsi="Arial"/>
                <w:bCs/>
                <w:color w:val="000000"/>
                <w:sz w:val="18"/>
                <w:szCs w:val="18"/>
                <w:lang w:val="en-GB"/>
              </w:rPr>
              <w:t>.</w:t>
            </w:r>
            <w:r w:rsidRPr="00837F64">
              <w:rPr>
                <w:rFonts w:ascii="Arial" w:hAnsi="Arial"/>
                <w:bCs/>
                <w:color w:val="000000"/>
                <w:sz w:val="18"/>
                <w:szCs w:val="18"/>
                <w:lang w:val="en-GB"/>
              </w:rPr>
              <w:t>5%</w:t>
            </w:r>
          </w:p>
        </w:tc>
      </w:tr>
    </w:tbl>
    <w:p w:rsidR="00BA53D0" w:rsidRPr="00837F64" w:rsidRDefault="00837F64" w:rsidP="00837F64">
      <w:pPr>
        <w:pStyle w:val="Listenabsatz"/>
        <w:numPr>
          <w:ilvl w:val="0"/>
          <w:numId w:val="4"/>
        </w:numPr>
        <w:autoSpaceDE w:val="0"/>
        <w:autoSpaceDN w:val="0"/>
        <w:adjustRightInd w:val="0"/>
        <w:ind w:right="1002"/>
        <w:rPr>
          <w:rFonts w:ascii="Arial" w:hAnsi="Arial" w:cs="Arial"/>
          <w:i/>
          <w:sz w:val="16"/>
          <w:szCs w:val="16"/>
        </w:rPr>
      </w:pPr>
      <w:r w:rsidRPr="00837F64">
        <w:rPr>
          <w:rFonts w:ascii="Arial" w:hAnsi="Arial"/>
          <w:i/>
          <w:sz w:val="16"/>
        </w:rPr>
        <w:t xml:space="preserve">Earnings adjusted for the impact of revaluation as part of allocating the prices of the major acquisitions, restructuring, capital gains on business disposals and income from business combinations including related derivatives as well as insurance compensation </w:t>
      </w:r>
    </w:p>
    <w:p w:rsidR="00BA53D0" w:rsidRPr="00837F64" w:rsidRDefault="00837F64" w:rsidP="00837F64">
      <w:pPr>
        <w:pStyle w:val="Listenabsatz"/>
        <w:numPr>
          <w:ilvl w:val="0"/>
          <w:numId w:val="4"/>
        </w:numPr>
        <w:autoSpaceDE w:val="0"/>
        <w:autoSpaceDN w:val="0"/>
        <w:adjustRightInd w:val="0"/>
        <w:ind w:right="1002"/>
        <w:rPr>
          <w:rFonts w:ascii="Arial" w:hAnsi="Arial" w:cs="Arial"/>
          <w:i/>
          <w:sz w:val="16"/>
          <w:szCs w:val="16"/>
        </w:rPr>
      </w:pPr>
      <w:r w:rsidRPr="00837F64">
        <w:rPr>
          <w:rFonts w:ascii="Arial" w:hAnsi="Arial"/>
          <w:i/>
          <w:sz w:val="16"/>
          <w:szCs w:val="16"/>
        </w:rPr>
        <w:t>Previous year’s figure adjusted (excepting investments</w:t>
      </w:r>
      <w:r>
        <w:rPr>
          <w:rFonts w:ascii="Arial" w:hAnsi="Arial"/>
          <w:i/>
          <w:sz w:val="16"/>
          <w:szCs w:val="16"/>
        </w:rPr>
        <w:t xml:space="preserve"> and number of employees)</w:t>
      </w:r>
    </w:p>
    <w:p w:rsidR="00F76833" w:rsidRPr="00C76F85" w:rsidRDefault="00B17B44" w:rsidP="0065356D">
      <w:pPr>
        <w:pStyle w:val="MMKurzprofilberschrift"/>
        <w:rPr>
          <w:lang w:val="en-GB"/>
        </w:rPr>
      </w:pPr>
      <w:r>
        <w:rPr>
          <w:lang w:val="en-GB"/>
        </w:rPr>
        <w:br w:type="page"/>
      </w:r>
      <w:r w:rsidR="00F76833" w:rsidRPr="00C85271">
        <w:rPr>
          <w:lang w:val="en-GB"/>
        </w:rPr>
        <w:lastRenderedPageBreak/>
        <w:t>About the Leoni Grou</w:t>
      </w:r>
      <w:r w:rsidR="00F76833" w:rsidRPr="00C76F85">
        <w:rPr>
          <w:lang w:val="en-GB"/>
        </w:rPr>
        <w:t>p</w:t>
      </w:r>
    </w:p>
    <w:p w:rsidR="00325AAA" w:rsidRPr="00863E00" w:rsidRDefault="00755398" w:rsidP="0021396F">
      <w:pPr>
        <w:pStyle w:val="MMKurzprofil"/>
        <w:rPr>
          <w:lang w:val="en-GB"/>
        </w:rPr>
      </w:pPr>
      <w:r w:rsidRPr="00C76F85">
        <w:rPr>
          <w:lang w:val="en-GB"/>
        </w:rPr>
        <w:t xml:space="preserve">Leoni </w:t>
      </w:r>
      <w:r w:rsidR="00F67FEE" w:rsidRPr="00C76F85">
        <w:rPr>
          <w:lang w:val="en-GB"/>
        </w:rPr>
        <w:t>is a global provider of products, solutions and services for energy and data management in the automotive sector and other industries</w:t>
      </w:r>
      <w:r w:rsidRPr="00C76F85">
        <w:rPr>
          <w:lang w:val="en-GB"/>
        </w:rPr>
        <w:t xml:space="preserve">. </w:t>
      </w:r>
      <w:r w:rsidR="00F67FEE" w:rsidRPr="00C76F85">
        <w:rPr>
          <w:lang w:val="en-GB"/>
        </w:rPr>
        <w:t xml:space="preserve">The value chain encompasses wires, optical </w:t>
      </w:r>
      <w:proofErr w:type="spellStart"/>
      <w:r w:rsidR="00F67FEE" w:rsidRPr="00C76F85">
        <w:rPr>
          <w:lang w:val="en-GB"/>
        </w:rPr>
        <w:t>fibers</w:t>
      </w:r>
      <w:proofErr w:type="spellEnd"/>
      <w:r w:rsidR="00F67FEE" w:rsidRPr="00C76F85">
        <w:rPr>
          <w:lang w:val="en-GB"/>
        </w:rPr>
        <w:t xml:space="preserve">, standardised cables, special cables and assembled systems as well as intelligent products and smart services. As an innovation partner and solutions provider, Leoni supports its customers with pronounced development and systems expertise. </w:t>
      </w:r>
      <w:r w:rsidRPr="00C76F85">
        <w:rPr>
          <w:lang w:val="en-GB"/>
        </w:rPr>
        <w:t xml:space="preserve">The group of companies, which is listed on the German MDAX, employs </w:t>
      </w:r>
      <w:r w:rsidR="00BA53D0">
        <w:rPr>
          <w:lang w:val="en-GB"/>
        </w:rPr>
        <w:t xml:space="preserve">about </w:t>
      </w:r>
      <w:r w:rsidR="00325AAA" w:rsidRPr="00C76F85">
        <w:rPr>
          <w:lang w:val="en-US"/>
        </w:rPr>
        <w:t>8</w:t>
      </w:r>
      <w:r w:rsidR="00BA53D0">
        <w:rPr>
          <w:lang w:val="en-US"/>
        </w:rPr>
        <w:t>8</w:t>
      </w:r>
      <w:r w:rsidRPr="00496D4E">
        <w:rPr>
          <w:lang w:val="en-US"/>
        </w:rPr>
        <w:t>,000 people in 3</w:t>
      </w:r>
      <w:r w:rsidR="00325AAA">
        <w:rPr>
          <w:lang w:val="en-US"/>
        </w:rPr>
        <w:t>1</w:t>
      </w:r>
      <w:r w:rsidRPr="00496D4E">
        <w:rPr>
          <w:lang w:val="en-US"/>
        </w:rPr>
        <w:t xml:space="preserve"> countries and generated consolidated sales of EUR 4.</w:t>
      </w:r>
      <w:r w:rsidR="006C712B">
        <w:rPr>
          <w:lang w:val="en-US"/>
        </w:rPr>
        <w:t>9</w:t>
      </w:r>
      <w:r w:rsidRPr="00496D4E">
        <w:rPr>
          <w:lang w:val="en-US"/>
        </w:rPr>
        <w:t xml:space="preserve"> billion in 201</w:t>
      </w:r>
      <w:r w:rsidR="006C712B">
        <w:rPr>
          <w:lang w:val="en-US"/>
        </w:rPr>
        <w:t>7</w:t>
      </w:r>
      <w:r w:rsidR="00F67FEE">
        <w:rPr>
          <w:lang w:val="en-US"/>
        </w:rPr>
        <w:t>.</w:t>
      </w:r>
      <w:r w:rsidR="00325AAA" w:rsidRPr="00325AAA">
        <w:rPr>
          <w:lang w:val="en-GB"/>
        </w:rPr>
        <w:t xml:space="preserve"> </w:t>
      </w:r>
    </w:p>
    <w:p w:rsidR="00325AAA" w:rsidRPr="00863E00" w:rsidRDefault="00325AAA" w:rsidP="0021396F">
      <w:pPr>
        <w:pStyle w:val="MMKurzprofil"/>
        <w:rPr>
          <w:lang w:val="en-GB"/>
        </w:rPr>
      </w:pPr>
    </w:p>
    <w:p w:rsidR="00F76833" w:rsidRPr="00C43033" w:rsidRDefault="006B63FC" w:rsidP="0021396F">
      <w:pPr>
        <w:pStyle w:val="MMKurzprofil"/>
        <w:rPr>
          <w:lang w:val="en-US"/>
        </w:rPr>
      </w:pPr>
      <w:r>
        <w:rPr>
          <w:noProof/>
          <w:snapToGrid/>
          <w:lang w:eastAsia="de-DE"/>
        </w:rPr>
        <w:drawing>
          <wp:inline distT="0" distB="0" distL="0" distR="0" wp14:anchorId="2AC1DB0C">
            <wp:extent cx="182880" cy="182880"/>
            <wp:effectExtent l="0" t="0" r="0" b="0"/>
            <wp:docPr id="1" name="Bild 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325AAA" w:rsidRPr="00863E00">
        <w:rPr>
          <w:noProof/>
          <w:lang w:val="en-GB"/>
        </w:rPr>
        <w:t xml:space="preserve"> </w:t>
      </w:r>
      <w:r>
        <w:rPr>
          <w:noProof/>
          <w:snapToGrid/>
          <w:lang w:eastAsia="de-DE"/>
        </w:rPr>
        <w:drawing>
          <wp:inline distT="0" distB="0" distL="0" distR="0" wp14:anchorId="69FD17E6">
            <wp:extent cx="182880" cy="182880"/>
            <wp:effectExtent l="0" t="0" r="0" b="0"/>
            <wp:docPr id="2" name="Grafik 1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
                      <a:hlinkClick r:id="rId11"/>
                    </pic:cNvPr>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325AAA">
        <w:rPr>
          <w:noProof/>
          <w:lang w:val="en-GB"/>
        </w:rPr>
        <w:t xml:space="preserve"> </w:t>
      </w:r>
      <w:r>
        <w:rPr>
          <w:noProof/>
          <w:snapToGrid/>
          <w:lang w:eastAsia="de-DE"/>
        </w:rPr>
        <w:drawing>
          <wp:inline distT="0" distB="0" distL="0" distR="0" wp14:anchorId="2D8AC9C4">
            <wp:extent cx="182880" cy="182880"/>
            <wp:effectExtent l="0" t="0" r="0" b="0"/>
            <wp:docPr id="3" name="Bild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21396F" w:rsidRPr="00F8750F" w:rsidRDefault="0021396F" w:rsidP="0021396F">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 xml:space="preserve">Contact for analysts </w:t>
      </w:r>
      <w:bookmarkStart w:id="0" w:name="_GoBack"/>
      <w:bookmarkEnd w:id="0"/>
      <w:r w:rsidRPr="00F8750F">
        <w:rPr>
          <w:rFonts w:cs="Times New Roman"/>
          <w:szCs w:val="24"/>
          <w:lang w:val="en-GB"/>
        </w:rPr>
        <w:t>and investors</w:t>
      </w:r>
    </w:p>
    <w:p w:rsidR="0021396F" w:rsidRPr="0021396F" w:rsidRDefault="0021396F" w:rsidP="0021396F">
      <w:pPr>
        <w:pStyle w:val="MMKurzprofil"/>
      </w:pPr>
      <w:r w:rsidRPr="0021396F">
        <w:t xml:space="preserve">Sven </w:t>
      </w:r>
      <w:proofErr w:type="gramStart"/>
      <w:r w:rsidRPr="0021396F">
        <w:t xml:space="preserve">Schmidt  </w:t>
      </w:r>
      <w:r w:rsidRPr="0021396F">
        <w:tab/>
      </w:r>
      <w:proofErr w:type="gramEnd"/>
      <w:r w:rsidRPr="0021396F">
        <w:t xml:space="preserve">Frank Steinhart / Jens von </w:t>
      </w:r>
      <w:proofErr w:type="spellStart"/>
      <w:r w:rsidRPr="0021396F">
        <w:t>Seckendorff</w:t>
      </w:r>
      <w:proofErr w:type="spellEnd"/>
    </w:p>
    <w:p w:rsidR="0021396F" w:rsidRPr="002B438A" w:rsidRDefault="0021396F" w:rsidP="0021396F">
      <w:pPr>
        <w:pStyle w:val="MMKurzprofil"/>
        <w:rPr>
          <w:szCs w:val="24"/>
          <w:lang w:val="en-US"/>
        </w:rPr>
      </w:pPr>
      <w:r w:rsidRPr="008C626D">
        <w:rPr>
          <w:lang w:val="en-GB"/>
        </w:rPr>
        <w:t>Corporate Public &amp; Media Relations</w:t>
      </w:r>
      <w:r w:rsidRPr="002B438A">
        <w:rPr>
          <w:szCs w:val="24"/>
          <w:lang w:val="en-US"/>
        </w:rPr>
        <w:tab/>
        <w:t>Corporate Investor Relations</w:t>
      </w:r>
    </w:p>
    <w:p w:rsidR="0021396F" w:rsidRPr="002B438A" w:rsidRDefault="0021396F" w:rsidP="0021396F">
      <w:pPr>
        <w:pStyle w:val="MMKurzprofil"/>
        <w:rPr>
          <w:lang w:val="en-US"/>
        </w:rPr>
      </w:pPr>
      <w:r w:rsidRPr="002B438A">
        <w:rPr>
          <w:lang w:val="en-US"/>
        </w:rPr>
        <w:t>Phone</w:t>
      </w:r>
      <w:r w:rsidRPr="002B438A">
        <w:rPr>
          <w:lang w:val="en-US"/>
        </w:rPr>
        <w:tab/>
        <w:t>+49 (0)911-2023-467</w:t>
      </w:r>
      <w:r w:rsidRPr="002B438A">
        <w:rPr>
          <w:lang w:val="en-US"/>
        </w:rPr>
        <w:tab/>
        <w:t>Phone</w:t>
      </w:r>
      <w:r w:rsidRPr="002B438A">
        <w:rPr>
          <w:lang w:val="en-US"/>
        </w:rPr>
        <w:tab/>
        <w:t>+49</w:t>
      </w:r>
      <w:r>
        <w:rPr>
          <w:lang w:val="en-US"/>
        </w:rPr>
        <w:t xml:space="preserve"> </w:t>
      </w:r>
      <w:r w:rsidRPr="002B438A">
        <w:rPr>
          <w:lang w:val="en-US"/>
        </w:rPr>
        <w:t>(0)911-2023-203</w:t>
      </w:r>
      <w:r>
        <w:rPr>
          <w:lang w:val="en-US"/>
        </w:rPr>
        <w:t xml:space="preserve"> / -134</w:t>
      </w:r>
    </w:p>
    <w:p w:rsidR="0021396F" w:rsidRPr="002B438A" w:rsidRDefault="0021396F" w:rsidP="0021396F">
      <w:pPr>
        <w:pStyle w:val="MMKurzprofil"/>
        <w:rPr>
          <w:lang w:val="en-US"/>
        </w:rPr>
      </w:pPr>
      <w:r w:rsidRPr="002B438A">
        <w:rPr>
          <w:lang w:val="en-US"/>
        </w:rPr>
        <w:t>Fax</w:t>
      </w:r>
      <w:r w:rsidRPr="002B438A">
        <w:rPr>
          <w:lang w:val="en-US"/>
        </w:rPr>
        <w:tab/>
        <w:t>+49 (0)911-2023-231</w:t>
      </w:r>
      <w:r w:rsidRPr="002B438A">
        <w:rPr>
          <w:lang w:val="en-US"/>
        </w:rPr>
        <w:tab/>
        <w:t>Fax</w:t>
      </w:r>
      <w:r w:rsidRPr="002B438A">
        <w:rPr>
          <w:lang w:val="en-US"/>
        </w:rPr>
        <w:tab/>
        <w:t>+49</w:t>
      </w:r>
      <w:r>
        <w:rPr>
          <w:lang w:val="en-US"/>
        </w:rPr>
        <w:t xml:space="preserve"> </w:t>
      </w:r>
      <w:r w:rsidRPr="002B438A">
        <w:rPr>
          <w:lang w:val="en-US"/>
        </w:rPr>
        <w:t>(0)911-2023-10203</w:t>
      </w:r>
      <w:r>
        <w:rPr>
          <w:lang w:val="en-US"/>
        </w:rPr>
        <w:t xml:space="preserve"> / -10134</w:t>
      </w:r>
    </w:p>
    <w:p w:rsidR="0021396F" w:rsidRPr="008D5BBF" w:rsidRDefault="0021396F" w:rsidP="0021396F">
      <w:pPr>
        <w:pStyle w:val="MMKurzprofil"/>
        <w:rPr>
          <w:rStyle w:val="Hyperlink"/>
          <w:color w:val="000000"/>
          <w:szCs w:val="24"/>
          <w:u w:val="none"/>
          <w:lang w:val="en-US"/>
        </w:rPr>
      </w:pPr>
      <w:r w:rsidRPr="002B438A">
        <w:rPr>
          <w:lang w:val="en-US"/>
        </w:rPr>
        <w:t>E-mail</w:t>
      </w:r>
      <w:r w:rsidRPr="002B438A">
        <w:rPr>
          <w:lang w:val="en-US"/>
        </w:rPr>
        <w:tab/>
      </w:r>
      <w:hyperlink r:id="rId15" w:history="1">
        <w:r w:rsidRPr="002B438A">
          <w:rPr>
            <w:rStyle w:val="Hyperlink"/>
            <w:szCs w:val="24"/>
            <w:lang w:val="en-US"/>
          </w:rPr>
          <w:t>presse@leoni.com</w:t>
        </w:r>
      </w:hyperlink>
      <w:r w:rsidRPr="002B438A">
        <w:rPr>
          <w:lang w:val="en-US"/>
        </w:rPr>
        <w:t xml:space="preserve"> </w:t>
      </w:r>
      <w:r w:rsidRPr="002B438A">
        <w:rPr>
          <w:lang w:val="en-US"/>
        </w:rPr>
        <w:tab/>
        <w:t>E-mail</w:t>
      </w:r>
      <w:r w:rsidRPr="002B438A">
        <w:rPr>
          <w:lang w:val="en-US"/>
        </w:rPr>
        <w:tab/>
      </w:r>
      <w:hyperlink r:id="rId16" w:history="1">
        <w:r w:rsidRPr="002B438A">
          <w:rPr>
            <w:rStyle w:val="Hyperlink"/>
            <w:szCs w:val="24"/>
            <w:lang w:val="en-US"/>
          </w:rPr>
          <w:t>invest@leoni.com</w:t>
        </w:r>
      </w:hyperlink>
    </w:p>
    <w:p w:rsidR="00C16451" w:rsidRPr="00A3751E" w:rsidRDefault="00C16451" w:rsidP="0021396F">
      <w:pPr>
        <w:pStyle w:val="MMKurzprofil"/>
        <w:rPr>
          <w:rStyle w:val="Hyperlink"/>
          <w:lang w:val="fr-FR"/>
        </w:rPr>
      </w:pPr>
    </w:p>
    <w:sectPr w:rsidR="00C16451" w:rsidRPr="00A3751E">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A9" w:rsidRDefault="00A77CA9">
      <w:pPr>
        <w:rPr>
          <w:sz w:val="16"/>
        </w:rPr>
      </w:pPr>
      <w:r>
        <w:separator/>
      </w:r>
    </w:p>
  </w:endnote>
  <w:endnote w:type="continuationSeparator" w:id="0">
    <w:p w:rsidR="00A77CA9" w:rsidRDefault="00A77CA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CB2A91">
      <w:rPr>
        <w:rStyle w:val="Seitenzahl"/>
        <w:rFonts w:ascii="Arial" w:hAnsi="Arial"/>
        <w:i/>
        <w:noProof/>
        <w:sz w:val="16"/>
      </w:rPr>
      <w:t>3</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CB2A91">
      <w:rPr>
        <w:rStyle w:val="Seitenzahl"/>
        <w:rFonts w:ascii="Arial" w:hAnsi="Arial"/>
        <w:i/>
        <w:noProof/>
        <w:sz w:val="16"/>
      </w:rPr>
      <w:t>4</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A9" w:rsidRDefault="00A77CA9">
      <w:pPr>
        <w:rPr>
          <w:sz w:val="16"/>
        </w:rPr>
      </w:pPr>
      <w:r>
        <w:separator/>
      </w:r>
    </w:p>
  </w:footnote>
  <w:footnote w:type="continuationSeparator" w:id="0">
    <w:p w:rsidR="00A77CA9" w:rsidRDefault="00A77CA9">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6B63FC">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3B39A56C">
          <wp:simplePos x="0" y="0"/>
          <wp:positionH relativeFrom="page">
            <wp:posOffset>5796915</wp:posOffset>
          </wp:positionH>
          <wp:positionV relativeFrom="page">
            <wp:posOffset>540385</wp:posOffset>
          </wp:positionV>
          <wp:extent cx="1229360" cy="294640"/>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6B63FC">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2D8C052A">
          <wp:simplePos x="0" y="0"/>
          <wp:positionH relativeFrom="margin">
            <wp:posOffset>5008245</wp:posOffset>
          </wp:positionH>
          <wp:positionV relativeFrom="margin">
            <wp:posOffset>-1421765</wp:posOffset>
          </wp:positionV>
          <wp:extent cx="1229360" cy="294640"/>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46865"/>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1396F"/>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5AAA"/>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5F180D"/>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B63FC"/>
    <w:rsid w:val="006C5546"/>
    <w:rsid w:val="006C6A78"/>
    <w:rsid w:val="006C712B"/>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5398"/>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37F64"/>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051C1"/>
    <w:rsid w:val="00A12538"/>
    <w:rsid w:val="00A14497"/>
    <w:rsid w:val="00A23768"/>
    <w:rsid w:val="00A27173"/>
    <w:rsid w:val="00A2750A"/>
    <w:rsid w:val="00A34AA7"/>
    <w:rsid w:val="00A3751E"/>
    <w:rsid w:val="00A37C17"/>
    <w:rsid w:val="00A54DDA"/>
    <w:rsid w:val="00A66992"/>
    <w:rsid w:val="00A67D4C"/>
    <w:rsid w:val="00A708D7"/>
    <w:rsid w:val="00A76205"/>
    <w:rsid w:val="00A76415"/>
    <w:rsid w:val="00A77CA9"/>
    <w:rsid w:val="00A85FF7"/>
    <w:rsid w:val="00A864E9"/>
    <w:rsid w:val="00A944F8"/>
    <w:rsid w:val="00A9477D"/>
    <w:rsid w:val="00AA09F4"/>
    <w:rsid w:val="00AA2A8D"/>
    <w:rsid w:val="00AC2AE0"/>
    <w:rsid w:val="00AC7A23"/>
    <w:rsid w:val="00AD3E26"/>
    <w:rsid w:val="00AD59D8"/>
    <w:rsid w:val="00AD5E45"/>
    <w:rsid w:val="00AE1133"/>
    <w:rsid w:val="00AE43B7"/>
    <w:rsid w:val="00AF0A61"/>
    <w:rsid w:val="00AF1B7B"/>
    <w:rsid w:val="00B05F61"/>
    <w:rsid w:val="00B10383"/>
    <w:rsid w:val="00B1340F"/>
    <w:rsid w:val="00B139E4"/>
    <w:rsid w:val="00B17B44"/>
    <w:rsid w:val="00B351E3"/>
    <w:rsid w:val="00B3540F"/>
    <w:rsid w:val="00B45E40"/>
    <w:rsid w:val="00B461BD"/>
    <w:rsid w:val="00B466F2"/>
    <w:rsid w:val="00B6724A"/>
    <w:rsid w:val="00B67561"/>
    <w:rsid w:val="00B70B1A"/>
    <w:rsid w:val="00B71C6F"/>
    <w:rsid w:val="00B91F37"/>
    <w:rsid w:val="00B96DE2"/>
    <w:rsid w:val="00BA0052"/>
    <w:rsid w:val="00BA53D0"/>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3033"/>
    <w:rsid w:val="00C4636C"/>
    <w:rsid w:val="00C56CA8"/>
    <w:rsid w:val="00C63B60"/>
    <w:rsid w:val="00C6770A"/>
    <w:rsid w:val="00C70F49"/>
    <w:rsid w:val="00C7427E"/>
    <w:rsid w:val="00C76F85"/>
    <w:rsid w:val="00C900A9"/>
    <w:rsid w:val="00C96EBA"/>
    <w:rsid w:val="00CA481B"/>
    <w:rsid w:val="00CA4B57"/>
    <w:rsid w:val="00CB2A91"/>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1AB1"/>
    <w:rsid w:val="00DF6351"/>
    <w:rsid w:val="00E01673"/>
    <w:rsid w:val="00E02B7A"/>
    <w:rsid w:val="00E03015"/>
    <w:rsid w:val="00E07C7C"/>
    <w:rsid w:val="00E106FD"/>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67FEE"/>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105F7E"/>
  <w15:docId w15:val="{3A3E96CB-9ECD-4A8D-9450-DC8AAFF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rsid w:val="00CB2A91"/>
    <w:pPr>
      <w:ind w:right="1922"/>
    </w:pPr>
    <w:rPr>
      <w:rFonts w:ascii="Arial" w:hAnsi="Arial"/>
      <w:bCs/>
      <w:spacing w:val="-4"/>
      <w:sz w:val="24"/>
      <w:szCs w:val="20"/>
      <w:lang w:val="en-GB"/>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CB2A91"/>
    <w:pPr>
      <w:ind w:right="1922"/>
      <w:jc w:val="both"/>
    </w:pPr>
    <w:rPr>
      <w:rFonts w:ascii="Arial" w:hAnsi="Arial" w:cs="Arial"/>
      <w:sz w:val="22"/>
      <w:szCs w:val="22"/>
    </w:rPr>
  </w:style>
  <w:style w:type="paragraph" w:customStyle="1" w:styleId="MMKurzprofil">
    <w:name w:val="MM Kurzprofil"/>
    <w:basedOn w:val="Standard"/>
    <w:autoRedefine/>
    <w:qFormat/>
    <w:rsid w:val="0021396F"/>
    <w:pPr>
      <w:tabs>
        <w:tab w:val="left" w:pos="851"/>
        <w:tab w:val="left" w:pos="3969"/>
      </w:tabs>
      <w:ind w:right="171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character" w:customStyle="1" w:styleId="KommentartextZchn">
    <w:name w:val="Kommentartext Zchn"/>
    <w:link w:val="Kommentartext"/>
    <w:semiHidden/>
    <w:rsid w:val="00C76F85"/>
    <w:rPr>
      <w:snapToGrid w:val="0"/>
      <w:lang w:eastAsia="en-GB"/>
    </w:rPr>
  </w:style>
  <w:style w:type="paragraph" w:styleId="Listenabsatz">
    <w:name w:val="List Paragraph"/>
    <w:basedOn w:val="Standard"/>
    <w:uiPriority w:val="34"/>
    <w:qFormat/>
    <w:rsid w:val="00BA53D0"/>
    <w:pPr>
      <w:ind w:left="720"/>
      <w:contextualSpacing/>
    </w:pPr>
    <w:rPr>
      <w:snapToGrid/>
      <w:lang w:val="en-GB" w:eastAsia="de-DE"/>
    </w:rPr>
  </w:style>
  <w:style w:type="paragraph" w:styleId="berarbeitung">
    <w:name w:val="Revision"/>
    <w:hidden/>
    <w:uiPriority w:val="99"/>
    <w:semiHidden/>
    <w:rsid w:val="00CB2A91"/>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financial-publications/"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oni.com/en/press/releases/details/leoni-raises-sales-forecast-following-good-performance-in-the-1st-half/"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vest@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leoni" TargetMode="External"/><Relationship Id="rId5" Type="http://schemas.openxmlformats.org/officeDocument/2006/relationships/footnotes" Target="footnote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AC76C2A6.dotm</Template>
  <TotalTime>0</TotalTime>
  <Pages>4</Pages>
  <Words>1211</Words>
  <Characters>6800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7996</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2</cp:revision>
  <cp:lastPrinted>2012-09-05T07:40:00Z</cp:lastPrinted>
  <dcterms:created xsi:type="dcterms:W3CDTF">2018-08-14T09:32:00Z</dcterms:created>
  <dcterms:modified xsi:type="dcterms:W3CDTF">2018-08-14T09:32:00Z</dcterms:modified>
</cp:coreProperties>
</file>